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554E" w:rsidRDefault="00D4554E" w:rsidP="00D4554E">
      <w:pPr>
        <w:pStyle w:val="Titolo1"/>
        <w:pageBreakBefore/>
        <w:numPr>
          <w:ilvl w:val="0"/>
          <w:numId w:val="5"/>
        </w:numPr>
        <w:tabs>
          <w:tab w:val="left" w:pos="851"/>
        </w:tabs>
        <w:spacing w:before="240" w:after="480"/>
      </w:pPr>
      <w:bookmarkStart w:id="0" w:name="_Toc364092515"/>
      <w:r>
        <w:rPr>
          <w:b w:val="0"/>
        </w:rPr>
        <w:t>Parte GENERALE</w:t>
      </w:r>
      <w:bookmarkEnd w:id="0"/>
    </w:p>
    <w:p w:rsidR="00D4554E" w:rsidRDefault="00D4554E" w:rsidP="00D4554E">
      <w:pPr>
        <w:pStyle w:val="Titolo2"/>
        <w:numPr>
          <w:ilvl w:val="1"/>
          <w:numId w:val="5"/>
        </w:numPr>
        <w:spacing w:before="360" w:after="240"/>
        <w:rPr>
          <w:rFonts w:eastAsia="Arial Unicode MS"/>
        </w:rPr>
      </w:pPr>
      <w:bookmarkStart w:id="1" w:name="_Toc364092516"/>
      <w:r>
        <w:rPr>
          <w:rFonts w:eastAsia="Arial Unicode MS"/>
        </w:rPr>
        <w:t>Premessa</w:t>
      </w:r>
      <w:bookmarkEnd w:id="1"/>
    </w:p>
    <w:p w:rsidR="00422C7A" w:rsidRDefault="00D4554E" w:rsidP="00D4554E">
      <w:pPr>
        <w:rPr>
          <w:rFonts w:eastAsia="Arial Unicode MS"/>
        </w:rPr>
      </w:pPr>
      <w:r>
        <w:rPr>
          <w:rFonts w:eastAsia="Arial Unicode MS"/>
        </w:rPr>
        <w:t xml:space="preserve">L’opera </w:t>
      </w:r>
      <w:r w:rsidR="00422C7A">
        <w:rPr>
          <w:rFonts w:eastAsia="Arial Unicode MS"/>
        </w:rPr>
        <w:t>oggetto del finanziamento europeo (</w:t>
      </w:r>
      <w:r w:rsidR="00422C7A" w:rsidRPr="00422C7A">
        <w:rPr>
          <w:rFonts w:eastAsia="Arial Unicode MS"/>
          <w:i/>
        </w:rPr>
        <w:t>Delibera giunta Regione Veneto n° 690 del 24/05/2011 azione 2.1.2: concessione di contributi in conto capitale per la realizzazione di reti di teleriscaldamento. POR FESR</w:t>
      </w:r>
      <w:r w:rsidR="00422C7A">
        <w:rPr>
          <w:rFonts w:eastAsia="Arial Unicode MS"/>
          <w:i/>
        </w:rPr>
        <w:t xml:space="preserve"> [2007-2013]</w:t>
      </w:r>
      <w:r w:rsidR="00422C7A" w:rsidRPr="00422C7A">
        <w:rPr>
          <w:rFonts w:eastAsia="Arial Unicode MS"/>
          <w:i/>
        </w:rPr>
        <w:t xml:space="preserve"> Recupero calore di scarto da acciaieria "Riva Group" ed estensione rete di teleriscaldamento in Lungadige </w:t>
      </w:r>
      <w:proofErr w:type="spellStart"/>
      <w:r w:rsidR="00422C7A" w:rsidRPr="00422C7A">
        <w:rPr>
          <w:rFonts w:eastAsia="Arial Unicode MS"/>
          <w:i/>
        </w:rPr>
        <w:t>Galtarossa</w:t>
      </w:r>
      <w:proofErr w:type="spellEnd"/>
      <w:r w:rsidR="00422C7A" w:rsidRPr="00422C7A">
        <w:rPr>
          <w:rFonts w:eastAsia="Arial Unicode MS"/>
        </w:rPr>
        <w:t>)</w:t>
      </w:r>
      <w:r w:rsidR="00422C7A">
        <w:rPr>
          <w:i/>
          <w:sz w:val="15"/>
          <w:szCs w:val="15"/>
        </w:rPr>
        <w:t xml:space="preserve"> </w:t>
      </w:r>
      <w:r>
        <w:rPr>
          <w:rFonts w:eastAsia="Arial Unicode MS"/>
        </w:rPr>
        <w:t xml:space="preserve">prevede la posa di una </w:t>
      </w:r>
      <w:r w:rsidR="00422C7A">
        <w:rPr>
          <w:rFonts w:eastAsia="Arial Unicode MS"/>
        </w:rPr>
        <w:t>rete</w:t>
      </w:r>
      <w:r>
        <w:rPr>
          <w:rFonts w:eastAsia="Arial Unicode MS"/>
        </w:rPr>
        <w:t xml:space="preserve"> di collegamento tra la centrale di</w:t>
      </w:r>
      <w:r w:rsidR="00422C7A">
        <w:rPr>
          <w:rFonts w:eastAsia="Arial Unicode MS"/>
        </w:rPr>
        <w:t xml:space="preserve"> cogenerazione di AGSM denominata “</w:t>
      </w:r>
      <w:r>
        <w:rPr>
          <w:rFonts w:eastAsia="Arial Unicode MS"/>
        </w:rPr>
        <w:t xml:space="preserve">Centro </w:t>
      </w:r>
      <w:r w:rsidR="00422C7A">
        <w:rPr>
          <w:rFonts w:eastAsia="Arial Unicode MS"/>
        </w:rPr>
        <w:t>C</w:t>
      </w:r>
      <w:r>
        <w:rPr>
          <w:rFonts w:eastAsia="Arial Unicode MS"/>
        </w:rPr>
        <w:t>ittà</w:t>
      </w:r>
      <w:r w:rsidR="00422C7A">
        <w:rPr>
          <w:rFonts w:eastAsia="Arial Unicode MS"/>
        </w:rPr>
        <w:t xml:space="preserve">”, </w:t>
      </w:r>
      <w:r>
        <w:rPr>
          <w:rFonts w:eastAsia="Arial Unicode MS"/>
        </w:rPr>
        <w:t>lo stabilimento pr</w:t>
      </w:r>
      <w:r w:rsidR="00422C7A">
        <w:rPr>
          <w:rFonts w:eastAsia="Arial Unicode MS"/>
        </w:rPr>
        <w:t xml:space="preserve">oduttivo di “Riva Acciai Group” e la nuova lottizzazione denominata “ex Caserma </w:t>
      </w:r>
      <w:proofErr w:type="spellStart"/>
      <w:r w:rsidR="00422C7A">
        <w:rPr>
          <w:rFonts w:eastAsia="Arial Unicode MS"/>
        </w:rPr>
        <w:t>Passalcqua</w:t>
      </w:r>
      <w:proofErr w:type="spellEnd"/>
      <w:r w:rsidR="00422C7A">
        <w:rPr>
          <w:rFonts w:eastAsia="Arial Unicode MS"/>
        </w:rPr>
        <w:t>”.</w:t>
      </w:r>
      <w:r>
        <w:rPr>
          <w:rFonts w:eastAsia="Arial Unicode MS"/>
        </w:rPr>
        <w:t xml:space="preserve"> </w:t>
      </w:r>
    </w:p>
    <w:p w:rsidR="00D4554E" w:rsidRDefault="00D4554E" w:rsidP="00D4554E">
      <w:pPr>
        <w:rPr>
          <w:rFonts w:eastAsia="Arial Unicode MS"/>
        </w:rPr>
      </w:pPr>
      <w:r>
        <w:rPr>
          <w:rFonts w:eastAsia="Arial Unicode MS"/>
        </w:rPr>
        <w:t xml:space="preserve">L’opportunità di realizzare questo progetto si è aperta quando il Comune ha avviato i lavori di consolidamento statico e allargamento del Ponte S. Francesco, nel periodo 2010-2011, lavori che hanno permesso di posare all’interno del ponte due tubazioni preisolate che consentissero, </w:t>
      </w:r>
      <w:r w:rsidR="00C5224A">
        <w:rPr>
          <w:rFonts w:eastAsia="Arial Unicode MS"/>
        </w:rPr>
        <w:t>in futuro</w:t>
      </w:r>
      <w:r>
        <w:rPr>
          <w:rFonts w:eastAsia="Arial Unicode MS"/>
        </w:rPr>
        <w:t>, di collegare la zona Sud con la zona Est di Verona.</w:t>
      </w:r>
    </w:p>
    <w:p w:rsidR="00D4554E" w:rsidRDefault="00D4554E" w:rsidP="00D4554E">
      <w:pPr>
        <w:rPr>
          <w:rFonts w:eastAsia="Arial Unicode MS"/>
        </w:rPr>
      </w:pPr>
      <w:r>
        <w:rPr>
          <w:rFonts w:eastAsia="Arial Unicode MS"/>
        </w:rPr>
        <w:t>Questa predisposizione ha quindi consentito, nel 2011, di redigere un Progetto di estensione del TLR dalla zona Sud alla zona Est e di avviare i contatti con Riva Acciai Group per studiare la possibilità di utilizzo del calore da loro prodotto come scarto di processo.</w:t>
      </w:r>
    </w:p>
    <w:p w:rsidR="00D4554E" w:rsidRDefault="00D4554E" w:rsidP="00D4554E">
      <w:pPr>
        <w:rPr>
          <w:rFonts w:eastAsia="Arial Unicode MS"/>
        </w:rPr>
      </w:pPr>
      <w:r>
        <w:rPr>
          <w:rFonts w:eastAsia="Arial Unicode MS"/>
        </w:rPr>
        <w:t xml:space="preserve">Il progetto così </w:t>
      </w:r>
      <w:r w:rsidR="00422C7A">
        <w:rPr>
          <w:rFonts w:eastAsia="Arial Unicode MS"/>
        </w:rPr>
        <w:t>predisposto</w:t>
      </w:r>
      <w:r>
        <w:rPr>
          <w:rFonts w:eastAsia="Arial Unicode MS"/>
        </w:rPr>
        <w:t xml:space="preserve"> (connessione centrale di Centro Città con Riva Acciai) si è poi arricchito nel 2011 con la richiesta di allacciamento al TLR del grande complesso di Riqualificazione della caserma ex Passalacqua.</w:t>
      </w:r>
    </w:p>
    <w:p w:rsidR="00D4554E" w:rsidRDefault="00D4554E" w:rsidP="00D4554E">
      <w:pPr>
        <w:pStyle w:val="Titolo2"/>
        <w:numPr>
          <w:ilvl w:val="1"/>
          <w:numId w:val="5"/>
        </w:numPr>
        <w:spacing w:before="360" w:after="240"/>
        <w:rPr>
          <w:rFonts w:eastAsia="Arial Unicode MS"/>
        </w:rPr>
      </w:pPr>
      <w:bookmarkStart w:id="2" w:name="_Toc364092517"/>
      <w:r>
        <w:rPr>
          <w:rFonts w:eastAsia="Arial Unicode MS"/>
        </w:rPr>
        <w:t>obiettivi del progetto</w:t>
      </w:r>
      <w:bookmarkEnd w:id="2"/>
    </w:p>
    <w:p w:rsidR="00D4554E" w:rsidRDefault="00D4554E" w:rsidP="00D4554E">
      <w:r>
        <w:t>Lo sviluppo della rete di teleriscaldamento consentirà:</w:t>
      </w:r>
    </w:p>
    <w:p w:rsidR="00D4554E" w:rsidRDefault="00D4554E" w:rsidP="00D4554E">
      <w:pPr>
        <w:numPr>
          <w:ilvl w:val="0"/>
          <w:numId w:val="6"/>
        </w:numPr>
      </w:pPr>
      <w:r>
        <w:t>di recuperare il calore di scarto di un’acciaieria di notevoli dimensioni, “Riva Acciai Group”, che dispone di una notevole quantità di calore (recupero fumi di processo);</w:t>
      </w:r>
    </w:p>
    <w:p w:rsidR="00D4554E" w:rsidRDefault="00D4554E" w:rsidP="00D4554E">
      <w:pPr>
        <w:numPr>
          <w:ilvl w:val="0"/>
          <w:numId w:val="6"/>
        </w:numPr>
      </w:pPr>
      <w:r>
        <w:t xml:space="preserve">di allacciare su Lungadige </w:t>
      </w:r>
      <w:proofErr w:type="spellStart"/>
      <w:r>
        <w:t>Galtarossa</w:t>
      </w:r>
      <w:proofErr w:type="spellEnd"/>
      <w:r>
        <w:t xml:space="preserve"> alcune utenze di sicuro interesse per il teleriscaldamento:</w:t>
      </w:r>
    </w:p>
    <w:p w:rsidR="00D4554E" w:rsidRDefault="00422C7A" w:rsidP="00D4554E">
      <w:pPr>
        <w:numPr>
          <w:ilvl w:val="0"/>
          <w:numId w:val="7"/>
        </w:numPr>
      </w:pPr>
      <w:r>
        <w:t>la Questura</w:t>
      </w:r>
    </w:p>
    <w:p w:rsidR="00D4554E" w:rsidRDefault="00422C7A" w:rsidP="00D4554E">
      <w:pPr>
        <w:numPr>
          <w:ilvl w:val="0"/>
          <w:numId w:val="7"/>
        </w:numPr>
      </w:pPr>
      <w:r>
        <w:t>la sede dell’AGSM</w:t>
      </w:r>
    </w:p>
    <w:p w:rsidR="00D4554E" w:rsidRDefault="00422C7A" w:rsidP="00D4554E">
      <w:pPr>
        <w:numPr>
          <w:ilvl w:val="0"/>
          <w:numId w:val="7"/>
        </w:numPr>
      </w:pPr>
      <w:r>
        <w:t>la sede dell’ATV</w:t>
      </w:r>
    </w:p>
    <w:p w:rsidR="00D4554E" w:rsidRDefault="00D4554E" w:rsidP="00D4554E">
      <w:pPr>
        <w:numPr>
          <w:ilvl w:val="0"/>
          <w:numId w:val="6"/>
        </w:numPr>
      </w:pPr>
      <w:r>
        <w:t>di allacciare al teleriscaldamento l’area dell’ex Caserma Passalacqua, dove è in procinto la realizzazione un importante interv</w:t>
      </w:r>
      <w:r w:rsidR="00422C7A">
        <w:t>ento di riqualificazione urbana</w:t>
      </w:r>
      <w:r>
        <w:t>.</w:t>
      </w:r>
    </w:p>
    <w:p w:rsidR="00D4554E" w:rsidRDefault="00C5224A" w:rsidP="00D4554E">
      <w:pPr>
        <w:numPr>
          <w:ilvl w:val="0"/>
          <w:numId w:val="6"/>
        </w:numPr>
      </w:pPr>
      <w:r>
        <w:t>d</w:t>
      </w:r>
      <w:r w:rsidR="00D4554E">
        <w:t xml:space="preserve">i estendere la campagna allacciamenti alla zona di </w:t>
      </w:r>
      <w:proofErr w:type="spellStart"/>
      <w:r w:rsidR="00D4554E">
        <w:t>Veronetta</w:t>
      </w:r>
      <w:proofErr w:type="spellEnd"/>
      <w:r w:rsidR="00D4554E">
        <w:t xml:space="preserve">–Porta Vescovo, dove sono presenti numerose utenze “fronte-rete” e dunque potenzialmente allacciabili nel breve-medio termine </w:t>
      </w:r>
    </w:p>
    <w:p w:rsidR="00D4554E" w:rsidRDefault="00D4554E" w:rsidP="00D4554E">
      <w:r>
        <w:t>Come esposto precedentemente, la parziale copertura del fabbisogno termico della nuova utenza viene assicurato recuperando il calore di scarto dell’acciaieria Riva Acciai. Il cic</w:t>
      </w:r>
      <w:r w:rsidR="00C5224A">
        <w:t>lo di lavoro di detta acciaieria</w:t>
      </w:r>
      <w:r>
        <w:t xml:space="preserve"> è continuo (salvo i periodi di manutenzione).</w:t>
      </w:r>
    </w:p>
    <w:p w:rsidR="00D4554E" w:rsidRDefault="00D4554E" w:rsidP="00D4554E">
      <w:r>
        <w:t>L’eventuale back-up sarà assicurato dagli impianti di produzione del calore (motori e caldaie a gas) già installati presso la centrale di Cogenerazione che attualmente alimenta la rete di Centro Città (la rete verrebbe così alimentata contemporaneamente dalla centrale esistente e dallo scambiatore che recupera il calore di scarto presso l’acciaieria).</w:t>
      </w:r>
    </w:p>
    <w:p w:rsidR="00D4554E" w:rsidRDefault="00D4554E" w:rsidP="00D4554E">
      <w:r>
        <w:t>La quota di potenza termica mancante per soddisfare la nuova utenza verrà fornita tramite i gruppi e le caldaie attualmente presenti presso la centrale di cogenerazione di Centro Città.</w:t>
      </w:r>
    </w:p>
    <w:p w:rsidR="00D4554E" w:rsidRDefault="00D4554E" w:rsidP="00D4554E">
      <w:pPr>
        <w:pStyle w:val="Titolo1"/>
        <w:pageBreakBefore/>
        <w:numPr>
          <w:ilvl w:val="0"/>
          <w:numId w:val="5"/>
        </w:numPr>
        <w:tabs>
          <w:tab w:val="left" w:pos="851"/>
        </w:tabs>
        <w:spacing w:before="240" w:after="480"/>
        <w:ind w:left="432"/>
      </w:pPr>
      <w:bookmarkStart w:id="3" w:name="_Toc364092524"/>
      <w:r>
        <w:rPr>
          <w:b w:val="0"/>
        </w:rPr>
        <w:lastRenderedPageBreak/>
        <w:t>parte TECNICA</w:t>
      </w:r>
      <w:bookmarkEnd w:id="3"/>
    </w:p>
    <w:p w:rsidR="00D4554E" w:rsidRDefault="00D4554E" w:rsidP="00D4554E">
      <w:pPr>
        <w:pStyle w:val="Titolo2"/>
        <w:numPr>
          <w:ilvl w:val="1"/>
          <w:numId w:val="5"/>
        </w:numPr>
        <w:spacing w:before="360" w:after="240"/>
      </w:pPr>
      <w:bookmarkStart w:id="4" w:name="_Toc239496554"/>
      <w:bookmarkStart w:id="5" w:name="_Toc239564019"/>
      <w:bookmarkStart w:id="6" w:name="_Toc364092525"/>
      <w:bookmarkStart w:id="7" w:name="_Toc345676219"/>
      <w:bookmarkStart w:id="8" w:name="_Toc345675968"/>
      <w:bookmarkStart w:id="9" w:name="_Toc304278584"/>
      <w:bookmarkStart w:id="10" w:name="_Toc240277645"/>
      <w:bookmarkStart w:id="11" w:name="_Toc241641379"/>
      <w:bookmarkStart w:id="12" w:name="_Toc243731799"/>
      <w:bookmarkStart w:id="13" w:name="_Toc249322682"/>
      <w:bookmarkStart w:id="14" w:name="_Toc284495054"/>
      <w:bookmarkStart w:id="15" w:name="_Toc284495194"/>
      <w:bookmarkStart w:id="16" w:name="_Toc284495292"/>
      <w:bookmarkStart w:id="17" w:name="_Toc284495331"/>
      <w:r>
        <w:t xml:space="preserve">Stima della domanda </w:t>
      </w:r>
      <w:bookmarkEnd w:id="4"/>
      <w:bookmarkEnd w:id="5"/>
      <w:r>
        <w:t>termica di teleriscaldamento</w:t>
      </w:r>
      <w:bookmarkEnd w:id="6"/>
      <w:bookmarkEnd w:id="7"/>
      <w:bookmarkEnd w:id="8"/>
      <w:bookmarkEnd w:id="9"/>
      <w:bookmarkEnd w:id="10"/>
      <w:bookmarkEnd w:id="11"/>
      <w:bookmarkEnd w:id="12"/>
      <w:bookmarkEnd w:id="13"/>
      <w:bookmarkEnd w:id="14"/>
      <w:bookmarkEnd w:id="15"/>
      <w:bookmarkEnd w:id="16"/>
      <w:bookmarkEnd w:id="17"/>
    </w:p>
    <w:p w:rsidR="00D4554E" w:rsidRDefault="00D4554E" w:rsidP="00D4554E">
      <w:r>
        <w:t>Come esposto al capitolo precedente, il bacino di utenza potenziale dell’estensione in esame è molto significativo.</w:t>
      </w:r>
    </w:p>
    <w:p w:rsidR="00D4554E" w:rsidRDefault="00D4554E" w:rsidP="00D4554E"/>
    <w:p w:rsidR="00D4554E" w:rsidRDefault="00D4554E" w:rsidP="00D4554E">
      <w:r>
        <w:rPr>
          <w:noProof/>
        </w:rPr>
        <w:drawing>
          <wp:anchor distT="0" distB="0" distL="114300" distR="114300" simplePos="0" relativeHeight="251658240" behindDoc="0" locked="0" layoutInCell="1" allowOverlap="1">
            <wp:simplePos x="0" y="0"/>
            <wp:positionH relativeFrom="column">
              <wp:posOffset>233680</wp:posOffset>
            </wp:positionH>
            <wp:positionV relativeFrom="paragraph">
              <wp:posOffset>1859280</wp:posOffset>
            </wp:positionV>
            <wp:extent cx="1536700" cy="2009775"/>
            <wp:effectExtent l="0" t="0" r="6350" b="9525"/>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7">
                      <a:extLst>
                        <a:ext uri="{28A0092B-C50C-407E-A947-70E740481C1C}">
                          <a14:useLocalDpi xmlns:a14="http://schemas.microsoft.com/office/drawing/2010/main" val="0"/>
                        </a:ext>
                      </a:extLst>
                    </a:blip>
                    <a:srcRect l="2106" t="9329" r="60612" b="51076"/>
                    <a:stretch>
                      <a:fillRect/>
                    </a:stretch>
                  </pic:blipFill>
                  <pic:spPr bwMode="auto">
                    <a:xfrm>
                      <a:off x="0" y="0"/>
                      <a:ext cx="1536700" cy="20097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6337300" cy="5184140"/>
            <wp:effectExtent l="0" t="0" r="635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37300" cy="5184140"/>
                    </a:xfrm>
                    <a:prstGeom prst="rect">
                      <a:avLst/>
                    </a:prstGeom>
                    <a:noFill/>
                    <a:ln>
                      <a:noFill/>
                    </a:ln>
                  </pic:spPr>
                </pic:pic>
              </a:graphicData>
            </a:graphic>
          </wp:inline>
        </w:drawing>
      </w:r>
    </w:p>
    <w:p w:rsidR="00D4554E" w:rsidRDefault="00D4554E" w:rsidP="00D4554E">
      <w:pPr>
        <w:jc w:val="center"/>
        <w:rPr>
          <w:b/>
          <w:sz w:val="18"/>
          <w:szCs w:val="18"/>
        </w:rPr>
      </w:pPr>
      <w:r>
        <w:rPr>
          <w:b/>
          <w:sz w:val="18"/>
          <w:szCs w:val="18"/>
        </w:rPr>
        <w:t xml:space="preserve">Fig. </w:t>
      </w:r>
      <w:r w:rsidR="00C5224A">
        <w:rPr>
          <w:b/>
          <w:sz w:val="18"/>
          <w:szCs w:val="18"/>
        </w:rPr>
        <w:t>1</w:t>
      </w:r>
      <w:r>
        <w:rPr>
          <w:b/>
          <w:sz w:val="18"/>
          <w:szCs w:val="18"/>
        </w:rPr>
        <w:t xml:space="preserve">: Visione d’insieme dell’estensione in Lungadige </w:t>
      </w:r>
      <w:proofErr w:type="spellStart"/>
      <w:r>
        <w:rPr>
          <w:b/>
          <w:sz w:val="18"/>
          <w:szCs w:val="18"/>
        </w:rPr>
        <w:t>Galtarossa</w:t>
      </w:r>
      <w:proofErr w:type="spellEnd"/>
      <w:r>
        <w:rPr>
          <w:b/>
          <w:sz w:val="18"/>
          <w:szCs w:val="18"/>
        </w:rPr>
        <w:t>, delle utenze contrattualizzate (in viola) e di quelle potenzialmente allacciabili a breve-medio termine (in azzurro)</w:t>
      </w:r>
    </w:p>
    <w:p w:rsidR="00D4554E" w:rsidRDefault="00D4554E" w:rsidP="00D4554E">
      <w:r>
        <w:br w:type="page"/>
      </w:r>
      <w:r>
        <w:lastRenderedPageBreak/>
        <w:t>La fattibilità di un progetto di teleriscaldamento è fortemente condizionata dalla densità di utenza (in questo contesto sicuramente importante), ma anche dalla sfasamento temporale che intercorre tra l’investimento e l’effettiva acquisizione di utenza (variabile, quest’ultima, particolarmente significativa in un contesto di nuove lottizzazioni).</w:t>
      </w:r>
    </w:p>
    <w:p w:rsidR="00D4554E" w:rsidRDefault="00D4554E" w:rsidP="00D4554E">
      <w:r>
        <w:t xml:space="preserve">In tabella 1 si riepilogano le volumetrie e le assunzioni fatte per stimare </w:t>
      </w:r>
      <w:r>
        <w:rPr>
          <w:b/>
        </w:rPr>
        <w:t>il fabbisogno termico globale</w:t>
      </w:r>
      <w:r>
        <w:t xml:space="preserve"> delle utenze che si intende servire.</w:t>
      </w:r>
    </w:p>
    <w:tbl>
      <w:tblPr>
        <w:tblW w:w="93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9"/>
        <w:gridCol w:w="1559"/>
        <w:gridCol w:w="1134"/>
        <w:gridCol w:w="1134"/>
        <w:gridCol w:w="851"/>
        <w:gridCol w:w="708"/>
        <w:gridCol w:w="851"/>
      </w:tblGrid>
      <w:tr w:rsidR="00D4554E" w:rsidTr="00D4554E">
        <w:trPr>
          <w:trHeight w:val="525"/>
        </w:trPr>
        <w:tc>
          <w:tcPr>
            <w:tcW w:w="312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center"/>
              <w:rPr>
                <w:rFonts w:cs="Arial"/>
                <w:b/>
                <w:bCs/>
                <w:sz w:val="16"/>
                <w:szCs w:val="16"/>
              </w:rPr>
            </w:pPr>
            <w:r>
              <w:rPr>
                <w:rFonts w:cs="Arial"/>
                <w:b/>
                <w:bCs/>
                <w:sz w:val="16"/>
                <w:szCs w:val="16"/>
              </w:rPr>
              <w:t>Descrizione</w:t>
            </w:r>
          </w:p>
        </w:tc>
        <w:tc>
          <w:tcPr>
            <w:tcW w:w="1559" w:type="dxa"/>
            <w:tcBorders>
              <w:top w:val="single" w:sz="4" w:space="0" w:color="auto"/>
              <w:left w:val="single" w:sz="4" w:space="0" w:color="auto"/>
              <w:bottom w:val="single" w:sz="4" w:space="0" w:color="auto"/>
              <w:right w:val="single" w:sz="4" w:space="0" w:color="auto"/>
            </w:tcBorders>
            <w:vAlign w:val="center"/>
            <w:hideMark/>
          </w:tcPr>
          <w:p w:rsidR="00D4554E" w:rsidRDefault="00D4554E">
            <w:pPr>
              <w:jc w:val="center"/>
              <w:rPr>
                <w:rFonts w:cs="Arial"/>
                <w:b/>
                <w:bCs/>
                <w:sz w:val="16"/>
                <w:szCs w:val="16"/>
              </w:rPr>
            </w:pPr>
            <w:r>
              <w:rPr>
                <w:rFonts w:cs="Arial"/>
                <w:b/>
                <w:bCs/>
                <w:sz w:val="16"/>
                <w:szCs w:val="16"/>
              </w:rPr>
              <w:t>Volume (mc)</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554E" w:rsidRDefault="00D4554E">
            <w:pPr>
              <w:jc w:val="center"/>
              <w:rPr>
                <w:rFonts w:cs="Arial"/>
                <w:b/>
                <w:bCs/>
                <w:sz w:val="16"/>
                <w:szCs w:val="16"/>
              </w:rPr>
            </w:pPr>
            <w:r>
              <w:rPr>
                <w:rFonts w:cs="Arial"/>
                <w:b/>
                <w:bCs/>
                <w:sz w:val="16"/>
                <w:szCs w:val="16"/>
              </w:rPr>
              <w:t>kWh/y/mc</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554E" w:rsidRDefault="00D4554E">
            <w:pPr>
              <w:jc w:val="center"/>
              <w:rPr>
                <w:rFonts w:cs="Arial"/>
                <w:b/>
                <w:bCs/>
                <w:sz w:val="16"/>
                <w:szCs w:val="16"/>
              </w:rPr>
            </w:pPr>
            <w:r>
              <w:rPr>
                <w:rFonts w:cs="Arial"/>
                <w:b/>
                <w:bCs/>
                <w:sz w:val="16"/>
                <w:szCs w:val="16"/>
              </w:rPr>
              <w:t>MWh/anno</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center"/>
              <w:rPr>
                <w:rFonts w:cs="Arial"/>
                <w:b/>
                <w:bCs/>
                <w:sz w:val="16"/>
                <w:szCs w:val="16"/>
              </w:rPr>
            </w:pPr>
            <w:r>
              <w:rPr>
                <w:rFonts w:cs="Arial"/>
                <w:b/>
                <w:bCs/>
                <w:sz w:val="16"/>
                <w:szCs w:val="16"/>
              </w:rPr>
              <w:t>W/mc</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center"/>
              <w:rPr>
                <w:rFonts w:cs="Arial"/>
                <w:b/>
                <w:bCs/>
                <w:sz w:val="16"/>
                <w:szCs w:val="16"/>
              </w:rPr>
            </w:pPr>
            <w:r>
              <w:rPr>
                <w:rFonts w:cs="Arial"/>
                <w:b/>
                <w:bCs/>
                <w:sz w:val="16"/>
                <w:szCs w:val="16"/>
              </w:rPr>
              <w:t>Kc</w:t>
            </w:r>
          </w:p>
        </w:tc>
        <w:tc>
          <w:tcPr>
            <w:tcW w:w="851" w:type="dxa"/>
            <w:tcBorders>
              <w:top w:val="single" w:sz="4" w:space="0" w:color="auto"/>
              <w:left w:val="single" w:sz="4" w:space="0" w:color="auto"/>
              <w:bottom w:val="single" w:sz="4" w:space="0" w:color="auto"/>
              <w:right w:val="single" w:sz="4" w:space="0" w:color="auto"/>
            </w:tcBorders>
            <w:vAlign w:val="center"/>
            <w:hideMark/>
          </w:tcPr>
          <w:p w:rsidR="00D4554E" w:rsidRDefault="00D4554E">
            <w:pPr>
              <w:jc w:val="center"/>
              <w:rPr>
                <w:rFonts w:cs="Arial"/>
                <w:b/>
                <w:bCs/>
                <w:sz w:val="16"/>
                <w:szCs w:val="16"/>
              </w:rPr>
            </w:pPr>
            <w:r>
              <w:rPr>
                <w:rFonts w:cs="Arial"/>
                <w:b/>
                <w:bCs/>
                <w:sz w:val="16"/>
                <w:szCs w:val="16"/>
              </w:rPr>
              <w:t>KW</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sz w:val="16"/>
                <w:szCs w:val="16"/>
              </w:rPr>
            </w:pPr>
            <w:r>
              <w:rPr>
                <w:rFonts w:cs="Arial"/>
                <w:b/>
                <w:bCs/>
                <w:sz w:val="16"/>
                <w:szCs w:val="16"/>
              </w:rPr>
              <w:t>COND GIULIO PASTORE</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5.576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162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98 </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color w:val="FF0000"/>
                <w:sz w:val="16"/>
                <w:szCs w:val="16"/>
              </w:rPr>
            </w:pPr>
            <w:r>
              <w:rPr>
                <w:rFonts w:cs="Arial"/>
                <w:b/>
                <w:bCs/>
                <w:color w:val="FF0000"/>
                <w:sz w:val="16"/>
                <w:szCs w:val="16"/>
              </w:rPr>
              <w:t>AGSM SEDE + QUESTURA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 xml:space="preserve"> 97.580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29.0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 xml:space="preserve"> 2.830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 xml:space="preserve"> 1.708 </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sz w:val="16"/>
                <w:szCs w:val="16"/>
              </w:rPr>
            </w:pPr>
            <w:r>
              <w:rPr>
                <w:rFonts w:cs="Arial"/>
                <w:b/>
                <w:bCs/>
                <w:sz w:val="16"/>
                <w:szCs w:val="16"/>
              </w:rPr>
              <w:t>ATV</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20.910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606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366 </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sz w:val="16"/>
                <w:szCs w:val="16"/>
              </w:rPr>
            </w:pPr>
            <w:r>
              <w:rPr>
                <w:rFonts w:cs="Arial"/>
                <w:b/>
                <w:bCs/>
                <w:sz w:val="16"/>
                <w:szCs w:val="16"/>
              </w:rPr>
              <w:t>COND S. MARCO 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2.370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69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41 </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sz w:val="16"/>
                <w:szCs w:val="16"/>
              </w:rPr>
            </w:pPr>
            <w:r>
              <w:rPr>
                <w:rFonts w:cs="Arial"/>
                <w:b/>
                <w:bCs/>
                <w:sz w:val="16"/>
                <w:szCs w:val="16"/>
              </w:rPr>
              <w:t>COND S. MARCO 2</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4.182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121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73 </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sz w:val="16"/>
                <w:szCs w:val="16"/>
              </w:rPr>
            </w:pPr>
            <w:r>
              <w:rPr>
                <w:rFonts w:cs="Arial"/>
                <w:b/>
                <w:bCs/>
                <w:sz w:val="16"/>
                <w:szCs w:val="16"/>
              </w:rPr>
              <w:t xml:space="preserve">Condomini via </w:t>
            </w:r>
            <w:proofErr w:type="spellStart"/>
            <w:r>
              <w:rPr>
                <w:rFonts w:cs="Arial"/>
                <w:b/>
                <w:bCs/>
                <w:sz w:val="16"/>
                <w:szCs w:val="16"/>
              </w:rPr>
              <w:t>Cantarane</w:t>
            </w:r>
            <w:proofErr w:type="spellEnd"/>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50.000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1.450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sz w:val="16"/>
                <w:szCs w:val="16"/>
              </w:rPr>
            </w:pPr>
            <w:r>
              <w:rPr>
                <w:sz w:val="16"/>
                <w:szCs w:val="16"/>
              </w:rPr>
              <w:t xml:space="preserve"> 875 </w:t>
            </w:r>
          </w:p>
        </w:tc>
      </w:tr>
      <w:tr w:rsidR="00D4554E" w:rsidTr="00D4554E">
        <w:trPr>
          <w:trHeight w:val="25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jc w:val="left"/>
              <w:rPr>
                <w:rFonts w:cs="Arial"/>
                <w:b/>
                <w:bCs/>
                <w:color w:val="FF0000"/>
                <w:sz w:val="16"/>
                <w:szCs w:val="16"/>
              </w:rPr>
            </w:pPr>
            <w:r>
              <w:rPr>
                <w:rFonts w:cs="Arial"/>
                <w:b/>
                <w:bCs/>
                <w:color w:val="FF0000"/>
                <w:sz w:val="16"/>
                <w:szCs w:val="16"/>
              </w:rPr>
              <w:t>Lottizzazione ex caserma Passalacqua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 xml:space="preserve"> 45.000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17.0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 xml:space="preserve"> 765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20</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jc w:val="right"/>
              <w:rPr>
                <w:color w:val="FF0000"/>
                <w:sz w:val="16"/>
                <w:szCs w:val="16"/>
              </w:rPr>
            </w:pPr>
            <w:r>
              <w:rPr>
                <w:color w:val="FF0000"/>
                <w:sz w:val="16"/>
                <w:szCs w:val="16"/>
              </w:rPr>
              <w:t xml:space="preserve"> 630 </w:t>
            </w:r>
          </w:p>
        </w:tc>
      </w:tr>
      <w:tr w:rsidR="00D4554E" w:rsidTr="00D4554E">
        <w:trPr>
          <w:trHeight w:val="315"/>
        </w:trPr>
        <w:tc>
          <w:tcPr>
            <w:tcW w:w="3129" w:type="dxa"/>
            <w:tcBorders>
              <w:top w:val="single" w:sz="4" w:space="0" w:color="auto"/>
              <w:left w:val="single" w:sz="4" w:space="0" w:color="auto"/>
              <w:bottom w:val="single" w:sz="4" w:space="0" w:color="auto"/>
              <w:right w:val="single" w:sz="4" w:space="0" w:color="auto"/>
            </w:tcBorders>
            <w:noWrap/>
            <w:vAlign w:val="bottom"/>
            <w:hideMark/>
          </w:tcPr>
          <w:p w:rsidR="00D4554E" w:rsidRDefault="00D4554E">
            <w:pPr>
              <w:spacing w:after="0"/>
              <w:jc w:val="left"/>
              <w:rPr>
                <w:rFonts w:cs="Arial"/>
                <w:b/>
                <w:bCs/>
                <w:sz w:val="16"/>
                <w:szCs w:val="16"/>
              </w:rPr>
            </w:pPr>
            <w:r>
              <w:rPr>
                <w:rFonts w:cs="Arial"/>
                <w:b/>
                <w:bCs/>
                <w:sz w:val="16"/>
                <w:szCs w:val="16"/>
              </w:rPr>
              <w:t>TOTALI</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spacing w:after="0"/>
              <w:jc w:val="right"/>
              <w:rPr>
                <w:rFonts w:cs="Arial"/>
                <w:b/>
                <w:bCs/>
                <w:sz w:val="16"/>
                <w:szCs w:val="16"/>
              </w:rPr>
            </w:pPr>
            <w:r>
              <w:rPr>
                <w:rFonts w:cs="Arial"/>
                <w:b/>
                <w:bCs/>
                <w:sz w:val="16"/>
                <w:szCs w:val="16"/>
              </w:rPr>
              <w:t xml:space="preserve">     225.618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spacing w:after="0"/>
              <w:jc w:val="right"/>
              <w:rPr>
                <w:rFonts w:cs="Arial"/>
                <w:sz w:val="16"/>
                <w:szCs w:val="16"/>
              </w:rPr>
            </w:pPr>
            <w:r>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spacing w:after="0"/>
              <w:jc w:val="right"/>
              <w:rPr>
                <w:rFonts w:cs="Arial"/>
                <w:b/>
                <w:bCs/>
                <w:sz w:val="16"/>
                <w:szCs w:val="16"/>
              </w:rPr>
            </w:pPr>
            <w:r>
              <w:rPr>
                <w:rFonts w:cs="Arial"/>
                <w:b/>
                <w:bCs/>
                <w:sz w:val="16"/>
                <w:szCs w:val="16"/>
              </w:rPr>
              <w:t xml:space="preserve">             6.003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spacing w:after="0"/>
              <w:jc w:val="right"/>
              <w:rPr>
                <w:rFonts w:cs="Arial"/>
                <w:b/>
                <w:bCs/>
                <w:sz w:val="16"/>
                <w:szCs w:val="16"/>
              </w:rPr>
            </w:pPr>
            <w:r>
              <w:rPr>
                <w:rFonts w:cs="Arial"/>
                <w:b/>
                <w:bCs/>
                <w:sz w:val="16"/>
                <w:szCs w:val="16"/>
              </w:rPr>
              <w:t> </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spacing w:after="0"/>
              <w:jc w:val="right"/>
              <w:rPr>
                <w:rFonts w:cs="Arial"/>
                <w:sz w:val="16"/>
                <w:szCs w:val="16"/>
              </w:rPr>
            </w:pPr>
            <w:r>
              <w:rPr>
                <w:rFonts w:cs="Arial"/>
                <w:sz w:val="16"/>
                <w:szCs w:val="16"/>
              </w:rPr>
              <w:t xml:space="preserve">    </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4554E" w:rsidRDefault="00D4554E">
            <w:pPr>
              <w:spacing w:after="0"/>
              <w:jc w:val="right"/>
              <w:rPr>
                <w:rFonts w:cs="Arial"/>
                <w:b/>
                <w:bCs/>
                <w:sz w:val="16"/>
                <w:szCs w:val="16"/>
              </w:rPr>
            </w:pPr>
            <w:r>
              <w:rPr>
                <w:rFonts w:cs="Arial"/>
                <w:b/>
                <w:bCs/>
                <w:sz w:val="16"/>
                <w:szCs w:val="16"/>
              </w:rPr>
              <w:t xml:space="preserve">3.791 </w:t>
            </w:r>
          </w:p>
        </w:tc>
      </w:tr>
    </w:tbl>
    <w:p w:rsidR="00D4554E" w:rsidRDefault="00D4554E" w:rsidP="00D4554E">
      <w:pPr>
        <w:jc w:val="center"/>
        <w:rPr>
          <w:rFonts w:cs="Arial"/>
          <w:b/>
          <w:i/>
          <w:sz w:val="18"/>
          <w:szCs w:val="18"/>
        </w:rPr>
      </w:pPr>
      <w:r>
        <w:rPr>
          <w:rFonts w:cs="Arial"/>
          <w:b/>
          <w:i/>
          <w:sz w:val="18"/>
          <w:szCs w:val="18"/>
        </w:rPr>
        <w:t>Tab.1 – Stima del fabbisogno energetico</w:t>
      </w:r>
    </w:p>
    <w:p w:rsidR="00D4554E" w:rsidRDefault="00D4554E" w:rsidP="00D4554E">
      <w:pPr>
        <w:jc w:val="center"/>
        <w:rPr>
          <w:b/>
        </w:rPr>
      </w:pPr>
    </w:p>
    <w:p w:rsidR="00D4554E" w:rsidRDefault="00D4554E" w:rsidP="00D4554E">
      <w:pPr>
        <w:pStyle w:val="Titolo2"/>
        <w:numPr>
          <w:ilvl w:val="1"/>
          <w:numId w:val="5"/>
        </w:numPr>
        <w:spacing w:before="360" w:after="240"/>
      </w:pPr>
      <w:bookmarkStart w:id="18" w:name="_Toc364092526"/>
      <w:bookmarkStart w:id="19" w:name="_Toc345676223"/>
      <w:bookmarkStart w:id="20" w:name="_Toc345675972"/>
      <w:bookmarkStart w:id="21" w:name="_Toc304278586"/>
      <w:bookmarkStart w:id="22" w:name="_Toc239496556"/>
      <w:bookmarkStart w:id="23" w:name="_Toc239564021"/>
      <w:bookmarkStart w:id="24" w:name="_Toc240277647"/>
      <w:bookmarkStart w:id="25" w:name="_Toc241641381"/>
      <w:bookmarkStart w:id="26" w:name="_Toc243731801"/>
      <w:bookmarkStart w:id="27" w:name="_Toc249322684"/>
      <w:bookmarkStart w:id="28" w:name="_Toc284495056"/>
      <w:bookmarkStart w:id="29" w:name="_Toc284495196"/>
      <w:bookmarkStart w:id="30" w:name="_Toc284495294"/>
      <w:bookmarkStart w:id="31" w:name="_Toc284495333"/>
      <w:bookmarkStart w:id="32" w:name="_Toc328746497"/>
      <w:bookmarkStart w:id="33" w:name="_Toc59940296"/>
      <w:r>
        <w:t>Localizzazione della centrale e tracciato della rete</w:t>
      </w:r>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D4554E" w:rsidRDefault="00D4554E" w:rsidP="00D4554E">
      <w:r>
        <w:t>In dettaglio, l’intervento proposto prevede:</w:t>
      </w:r>
    </w:p>
    <w:p w:rsidR="00D4554E" w:rsidRDefault="00D4554E" w:rsidP="00D4554E">
      <w:pPr>
        <w:numPr>
          <w:ilvl w:val="0"/>
          <w:numId w:val="7"/>
        </w:numPr>
      </w:pPr>
      <w:r>
        <w:t xml:space="preserve">una importante chiusura di maglia in via Basso Acquar, che non è funzionale al raggiungimento di nuove utenze, ma assume un’importanza strategica in quanto consente di migliorare significativamente i profili di pressione e velocità della rete esistente, e rende in questo modo possibile l’estensione in Lungadige </w:t>
      </w:r>
      <w:proofErr w:type="spellStart"/>
      <w:r>
        <w:t>Galtarossa</w:t>
      </w:r>
      <w:proofErr w:type="spellEnd"/>
      <w:r>
        <w:t xml:space="preserve"> (che in caso contrario non sarebbe sostenibile idraulicamente);</w:t>
      </w:r>
    </w:p>
    <w:p w:rsidR="00D4554E" w:rsidRDefault="00D4554E" w:rsidP="00D4554E">
      <w:pPr>
        <w:numPr>
          <w:ilvl w:val="0"/>
          <w:numId w:val="7"/>
        </w:numPr>
      </w:pPr>
      <w:r>
        <w:t>la realizzazione di una stazione di recupero dei calore di scarto dall’Acciaieria Riva Acciai (scambiatore + sistema di pompaggio);</w:t>
      </w:r>
    </w:p>
    <w:p w:rsidR="00D4554E" w:rsidRDefault="00D4554E" w:rsidP="00D4554E">
      <w:pPr>
        <w:numPr>
          <w:ilvl w:val="0"/>
          <w:numId w:val="7"/>
        </w:numPr>
      </w:pPr>
      <w:r>
        <w:t xml:space="preserve">l’estensione della rete in Lungadige </w:t>
      </w:r>
      <w:proofErr w:type="spellStart"/>
      <w:r>
        <w:t>Galtarossa</w:t>
      </w:r>
      <w:proofErr w:type="spellEnd"/>
      <w:r>
        <w:t>;</w:t>
      </w:r>
    </w:p>
    <w:p w:rsidR="00D4554E" w:rsidRDefault="00D4554E" w:rsidP="00D4554E">
      <w:pPr>
        <w:numPr>
          <w:ilvl w:val="0"/>
          <w:numId w:val="7"/>
        </w:numPr>
      </w:pPr>
      <w:r>
        <w:t>la realizzazione di una dorsale distributiva a servizio della nuova lottizzazione nell’area della ex caserma Passalacqua.</w:t>
      </w:r>
    </w:p>
    <w:p w:rsidR="00D4554E" w:rsidRDefault="00D4554E" w:rsidP="00D4554E">
      <w:pPr>
        <w:numPr>
          <w:ilvl w:val="0"/>
          <w:numId w:val="7"/>
        </w:numPr>
      </w:pPr>
      <w:r>
        <w:t xml:space="preserve">l’estensione in via </w:t>
      </w:r>
      <w:proofErr w:type="spellStart"/>
      <w:r>
        <w:t>Cantarane</w:t>
      </w:r>
      <w:proofErr w:type="spellEnd"/>
      <w:r>
        <w:t xml:space="preserve"> (con la possibilità di allacciare alcune utenze potenzialmente interessanti);</w:t>
      </w:r>
    </w:p>
    <w:p w:rsidR="00D4554E" w:rsidRDefault="00D4554E" w:rsidP="00D4554E">
      <w:pPr>
        <w:jc w:val="center"/>
        <w:rPr>
          <w:rFonts w:cs="Arial"/>
          <w:color w:val="FF0000"/>
        </w:rPr>
      </w:pPr>
      <w:bookmarkStart w:id="34" w:name="_GoBack"/>
      <w:r>
        <w:rPr>
          <w:noProof/>
        </w:rPr>
        <w:lastRenderedPageBreak/>
        <w:drawing>
          <wp:inline distT="0" distB="0" distL="0" distR="0" wp14:anchorId="14D1016B" wp14:editId="31301D65">
            <wp:extent cx="6154479" cy="4579952"/>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l="35854"/>
                    <a:stretch>
                      <a:fillRect/>
                    </a:stretch>
                  </pic:blipFill>
                  <pic:spPr bwMode="auto">
                    <a:xfrm>
                      <a:off x="0" y="0"/>
                      <a:ext cx="6157080" cy="4581887"/>
                    </a:xfrm>
                    <a:prstGeom prst="rect">
                      <a:avLst/>
                    </a:prstGeom>
                    <a:noFill/>
                    <a:ln>
                      <a:noFill/>
                    </a:ln>
                  </pic:spPr>
                </pic:pic>
              </a:graphicData>
            </a:graphic>
          </wp:inline>
        </w:drawing>
      </w:r>
      <w:bookmarkEnd w:id="34"/>
    </w:p>
    <w:p w:rsidR="00D4554E" w:rsidRDefault="00C5224A" w:rsidP="00D4554E">
      <w:pPr>
        <w:ind w:left="360"/>
        <w:jc w:val="center"/>
        <w:rPr>
          <w:rFonts w:cs="Arial"/>
          <w:b/>
          <w:sz w:val="18"/>
          <w:szCs w:val="18"/>
        </w:rPr>
      </w:pPr>
      <w:r>
        <w:rPr>
          <w:rFonts w:cs="Arial"/>
          <w:b/>
          <w:sz w:val="18"/>
          <w:szCs w:val="18"/>
        </w:rPr>
        <w:t>Fig.2</w:t>
      </w:r>
      <w:r w:rsidR="00D4554E">
        <w:rPr>
          <w:rFonts w:cs="Arial"/>
          <w:b/>
          <w:sz w:val="18"/>
          <w:szCs w:val="18"/>
        </w:rPr>
        <w:t>: estensione rete TLR Centro Città (progetto esecutivo)</w:t>
      </w:r>
    </w:p>
    <w:p w:rsidR="00D4554E" w:rsidRDefault="00D4554E" w:rsidP="00D4554E">
      <w:pPr>
        <w:pStyle w:val="Titolo2"/>
        <w:numPr>
          <w:ilvl w:val="1"/>
          <w:numId w:val="5"/>
        </w:numPr>
        <w:spacing w:before="360" w:after="240"/>
        <w:rPr>
          <w:sz w:val="24"/>
        </w:rPr>
      </w:pPr>
      <w:bookmarkStart w:id="35" w:name="_Toc364092527"/>
      <w:r>
        <w:t>tipologia della rete</w:t>
      </w:r>
      <w:bookmarkEnd w:id="35"/>
    </w:p>
    <w:p w:rsidR="00D4554E" w:rsidRDefault="00D4554E" w:rsidP="00D4554E">
      <w:r>
        <w:t>La rete esistente di Centro Città è ad acqua calda (temperatura mandata: 80°C; ritorno: 60°C).</w:t>
      </w:r>
    </w:p>
    <w:p w:rsidR="00D4554E" w:rsidRDefault="00D4554E" w:rsidP="00D4554E">
      <w:r>
        <w:t xml:space="preserve">Il dimensionamento della rete è stato condotto utilizzando i dati di fabbisogno calcolati al paragrafo 2.1, mantenendo necessariamente un certo margine per garantire la possibilità nel futuro di allacciare nuove utenze potenziali della zona. </w:t>
      </w:r>
    </w:p>
    <w:p w:rsidR="00D4554E" w:rsidRDefault="00D4554E" w:rsidP="00D4554E">
      <w:pPr>
        <w:pStyle w:val="Titolo3"/>
        <w:numPr>
          <w:ilvl w:val="2"/>
          <w:numId w:val="5"/>
        </w:numPr>
        <w:spacing w:before="240"/>
        <w:rPr>
          <w:u w:val="none"/>
        </w:rPr>
      </w:pPr>
      <w:bookmarkStart w:id="36" w:name="_Toc364092528"/>
      <w:r>
        <w:t>Rete Primaria</w:t>
      </w:r>
      <w:bookmarkEnd w:id="36"/>
    </w:p>
    <w:p w:rsidR="00D4554E" w:rsidRDefault="00D4554E" w:rsidP="00D4554E">
      <w:r>
        <w:t xml:space="preserve">La </w:t>
      </w:r>
      <w:proofErr w:type="spellStart"/>
      <w:r>
        <w:t>tab</w:t>
      </w:r>
      <w:proofErr w:type="spellEnd"/>
      <w:r>
        <w:t xml:space="preserve">. 2 riepiloga in sintesi </w:t>
      </w:r>
      <w:r w:rsidR="00C5224A">
        <w:t>i risultati del dimensionamento</w:t>
      </w:r>
      <w:r>
        <w:t>.</w:t>
      </w:r>
    </w:p>
    <w:p w:rsidR="00D4554E" w:rsidRDefault="00D4554E" w:rsidP="00D4554E">
      <w:pPr>
        <w:jc w:val="left"/>
        <w:rPr>
          <w:highlight w:val="yellow"/>
        </w:rPr>
      </w:pPr>
    </w:p>
    <w:tbl>
      <w:tblPr>
        <w:tblpPr w:leftFromText="141" w:rightFromText="141" w:vertAnchor="text" w:horzAnchor="margin" w:tblpXSpec="center" w:tblpY="11"/>
        <w:tblW w:w="7287" w:type="dxa"/>
        <w:tblCellMar>
          <w:left w:w="70" w:type="dxa"/>
          <w:right w:w="70" w:type="dxa"/>
        </w:tblCellMar>
        <w:tblLook w:val="04A0" w:firstRow="1" w:lastRow="0" w:firstColumn="1" w:lastColumn="0" w:noHBand="0" w:noVBand="1"/>
      </w:tblPr>
      <w:tblGrid>
        <w:gridCol w:w="5189"/>
        <w:gridCol w:w="960"/>
        <w:gridCol w:w="1138"/>
      </w:tblGrid>
      <w:tr w:rsidR="00D4554E" w:rsidTr="00D4554E">
        <w:trPr>
          <w:trHeight w:val="252"/>
        </w:trPr>
        <w:tc>
          <w:tcPr>
            <w:tcW w:w="5189" w:type="dxa"/>
            <w:tcBorders>
              <w:top w:val="single" w:sz="8" w:space="0" w:color="auto"/>
              <w:left w:val="single" w:sz="8" w:space="0" w:color="auto"/>
              <w:bottom w:val="single" w:sz="8" w:space="0" w:color="auto"/>
              <w:right w:val="single" w:sz="4" w:space="0" w:color="auto"/>
            </w:tcBorders>
            <w:vAlign w:val="bottom"/>
            <w:hideMark/>
          </w:tcPr>
          <w:p w:rsidR="00D4554E" w:rsidRDefault="00D4554E">
            <w:pPr>
              <w:spacing w:after="0"/>
              <w:jc w:val="left"/>
              <w:rPr>
                <w:rFonts w:cs="Arial"/>
                <w:b/>
                <w:bCs/>
                <w:sz w:val="16"/>
                <w:szCs w:val="16"/>
              </w:rPr>
            </w:pPr>
            <w:r>
              <w:rPr>
                <w:rFonts w:cs="Arial"/>
                <w:b/>
                <w:bCs/>
                <w:sz w:val="16"/>
                <w:szCs w:val="16"/>
              </w:rPr>
              <w:t>Descrizione</w:t>
            </w:r>
          </w:p>
        </w:tc>
        <w:tc>
          <w:tcPr>
            <w:tcW w:w="960" w:type="dxa"/>
            <w:tcBorders>
              <w:top w:val="single" w:sz="8" w:space="0" w:color="auto"/>
              <w:left w:val="nil"/>
              <w:bottom w:val="single" w:sz="8" w:space="0" w:color="auto"/>
              <w:right w:val="single" w:sz="4" w:space="0" w:color="auto"/>
            </w:tcBorders>
            <w:vAlign w:val="bottom"/>
            <w:hideMark/>
          </w:tcPr>
          <w:p w:rsidR="00D4554E" w:rsidRDefault="00D4554E">
            <w:pPr>
              <w:spacing w:after="0"/>
              <w:jc w:val="center"/>
              <w:rPr>
                <w:rFonts w:cs="Arial"/>
                <w:b/>
                <w:bCs/>
                <w:sz w:val="16"/>
                <w:szCs w:val="16"/>
              </w:rPr>
            </w:pPr>
            <w:r>
              <w:rPr>
                <w:rFonts w:cs="Arial"/>
                <w:b/>
                <w:bCs/>
                <w:sz w:val="16"/>
                <w:szCs w:val="16"/>
              </w:rPr>
              <w:t>DN</w:t>
            </w:r>
          </w:p>
        </w:tc>
        <w:tc>
          <w:tcPr>
            <w:tcW w:w="1138" w:type="dxa"/>
            <w:tcBorders>
              <w:top w:val="single" w:sz="8" w:space="0" w:color="auto"/>
              <w:left w:val="nil"/>
              <w:bottom w:val="single" w:sz="8" w:space="0" w:color="auto"/>
              <w:right w:val="single" w:sz="4" w:space="0" w:color="auto"/>
            </w:tcBorders>
            <w:vAlign w:val="bottom"/>
            <w:hideMark/>
          </w:tcPr>
          <w:p w:rsidR="00D4554E" w:rsidRDefault="00D4554E">
            <w:pPr>
              <w:spacing w:after="0"/>
              <w:jc w:val="center"/>
              <w:rPr>
                <w:rFonts w:cs="Arial"/>
                <w:b/>
                <w:bCs/>
                <w:sz w:val="16"/>
                <w:szCs w:val="16"/>
              </w:rPr>
            </w:pPr>
            <w:proofErr w:type="spellStart"/>
            <w:r>
              <w:rPr>
                <w:rFonts w:cs="Arial"/>
                <w:b/>
                <w:bCs/>
                <w:sz w:val="16"/>
                <w:szCs w:val="16"/>
              </w:rPr>
              <w:t>lungh</w:t>
            </w:r>
            <w:proofErr w:type="spellEnd"/>
            <w:r>
              <w:rPr>
                <w:rFonts w:cs="Arial"/>
                <w:b/>
                <w:bCs/>
                <w:sz w:val="16"/>
                <w:szCs w:val="16"/>
              </w:rPr>
              <w:t>. (mt)</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 xml:space="preserve">dorsale  (Ascari – </w:t>
            </w:r>
            <w:proofErr w:type="spellStart"/>
            <w:r>
              <w:rPr>
                <w:rFonts w:cs="Arial"/>
                <w:bCs/>
                <w:sz w:val="16"/>
                <w:szCs w:val="16"/>
              </w:rPr>
              <w:t>Dominutti</w:t>
            </w:r>
            <w:proofErr w:type="spellEnd"/>
            <w:r>
              <w:rPr>
                <w:rFonts w:cs="Arial"/>
                <w:bCs/>
                <w:sz w:val="16"/>
                <w:szCs w:val="16"/>
              </w:rPr>
              <w:t xml:space="preserve"> – basso acquar – </w:t>
            </w:r>
            <w:proofErr w:type="spellStart"/>
            <w:r>
              <w:rPr>
                <w:rFonts w:cs="Arial"/>
                <w:bCs/>
                <w:sz w:val="16"/>
                <w:szCs w:val="16"/>
              </w:rPr>
              <w:t>Galtarossa</w:t>
            </w:r>
            <w:proofErr w:type="spellEnd"/>
            <w:r>
              <w:rPr>
                <w:rFonts w:cs="Arial"/>
                <w:bCs/>
                <w:sz w:val="16"/>
                <w:szCs w:val="16"/>
              </w:rPr>
              <w:t xml:space="preserve"> – Torbido -  </w:t>
            </w:r>
            <w:proofErr w:type="spellStart"/>
            <w:r>
              <w:rPr>
                <w:rFonts w:cs="Arial"/>
                <w:bCs/>
                <w:sz w:val="16"/>
                <w:szCs w:val="16"/>
              </w:rPr>
              <w:t>Passalaqua</w:t>
            </w:r>
            <w:proofErr w:type="spellEnd"/>
            <w:r>
              <w:rPr>
                <w:rFonts w:cs="Arial"/>
                <w:bCs/>
                <w:sz w:val="16"/>
                <w:szCs w:val="16"/>
              </w:rPr>
              <w:t xml:space="preserve"> – Porta Vescovo)</w:t>
            </w:r>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300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2200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ramo verso sede AGSM</w:t>
            </w:r>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400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30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 xml:space="preserve">ramo verso </w:t>
            </w:r>
            <w:proofErr w:type="spellStart"/>
            <w:r>
              <w:rPr>
                <w:rFonts w:cs="Arial"/>
                <w:bCs/>
                <w:sz w:val="16"/>
                <w:szCs w:val="16"/>
              </w:rPr>
              <w:t>Dominutti</w:t>
            </w:r>
            <w:proofErr w:type="spellEnd"/>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150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120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 xml:space="preserve">ramo via </w:t>
            </w:r>
            <w:proofErr w:type="spellStart"/>
            <w:r>
              <w:rPr>
                <w:rFonts w:cs="Arial"/>
                <w:bCs/>
                <w:sz w:val="16"/>
                <w:szCs w:val="16"/>
              </w:rPr>
              <w:t>Galtarossa</w:t>
            </w:r>
            <w:proofErr w:type="spellEnd"/>
            <w:r>
              <w:rPr>
                <w:rFonts w:cs="Arial"/>
                <w:bCs/>
                <w:sz w:val="16"/>
                <w:szCs w:val="16"/>
              </w:rPr>
              <w:t xml:space="preserve"> verso Boschetto </w:t>
            </w:r>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100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60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ramo derivazione verso Riva Acciai</w:t>
            </w:r>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150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500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ramo Via dell’Artigliere</w:t>
            </w:r>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150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240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 xml:space="preserve">ramo via Cristoforo via </w:t>
            </w:r>
            <w:proofErr w:type="spellStart"/>
            <w:r>
              <w:rPr>
                <w:rFonts w:cs="Arial"/>
                <w:bCs/>
                <w:sz w:val="16"/>
                <w:szCs w:val="16"/>
              </w:rPr>
              <w:t>Cantarane</w:t>
            </w:r>
            <w:proofErr w:type="spellEnd"/>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150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100</w:t>
            </w:r>
          </w:p>
        </w:tc>
      </w:tr>
      <w:tr w:rsidR="00D4554E" w:rsidTr="00D4554E">
        <w:trPr>
          <w:trHeight w:val="255"/>
        </w:trPr>
        <w:tc>
          <w:tcPr>
            <w:tcW w:w="5189" w:type="dxa"/>
            <w:tcBorders>
              <w:top w:val="nil"/>
              <w:left w:val="single" w:sz="8" w:space="0" w:color="auto"/>
              <w:bottom w:val="single" w:sz="4" w:space="0" w:color="auto"/>
              <w:right w:val="single" w:sz="4" w:space="0" w:color="auto"/>
            </w:tcBorders>
            <w:noWrap/>
            <w:vAlign w:val="bottom"/>
            <w:hideMark/>
          </w:tcPr>
          <w:p w:rsidR="00D4554E" w:rsidRDefault="00D4554E">
            <w:pPr>
              <w:spacing w:after="0"/>
              <w:jc w:val="left"/>
              <w:rPr>
                <w:rFonts w:cs="Arial"/>
                <w:bCs/>
                <w:sz w:val="16"/>
                <w:szCs w:val="16"/>
              </w:rPr>
            </w:pPr>
            <w:r>
              <w:rPr>
                <w:rFonts w:cs="Arial"/>
                <w:bCs/>
                <w:sz w:val="16"/>
                <w:szCs w:val="16"/>
              </w:rPr>
              <w:t>ramo vicolo Madonnina</w:t>
            </w:r>
          </w:p>
        </w:tc>
        <w:tc>
          <w:tcPr>
            <w:tcW w:w="960"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100</w:t>
            </w:r>
          </w:p>
        </w:tc>
        <w:tc>
          <w:tcPr>
            <w:tcW w:w="1138" w:type="dxa"/>
            <w:tcBorders>
              <w:top w:val="nil"/>
              <w:left w:val="nil"/>
              <w:bottom w:val="single" w:sz="4" w:space="0" w:color="auto"/>
              <w:right w:val="single" w:sz="4" w:space="0" w:color="auto"/>
            </w:tcBorders>
            <w:noWrap/>
            <w:vAlign w:val="bottom"/>
            <w:hideMark/>
          </w:tcPr>
          <w:p w:rsidR="00D4554E" w:rsidRDefault="00D4554E">
            <w:pPr>
              <w:spacing w:after="0"/>
              <w:jc w:val="right"/>
              <w:rPr>
                <w:rFonts w:cs="Arial"/>
                <w:bCs/>
                <w:sz w:val="16"/>
                <w:szCs w:val="16"/>
              </w:rPr>
            </w:pPr>
            <w:r>
              <w:rPr>
                <w:rFonts w:cs="Arial"/>
                <w:bCs/>
                <w:sz w:val="16"/>
                <w:szCs w:val="16"/>
              </w:rPr>
              <w:t>50</w:t>
            </w:r>
          </w:p>
        </w:tc>
      </w:tr>
      <w:tr w:rsidR="00D4554E" w:rsidTr="00D4554E">
        <w:trPr>
          <w:trHeight w:val="315"/>
        </w:trPr>
        <w:tc>
          <w:tcPr>
            <w:tcW w:w="5189" w:type="dxa"/>
            <w:tcBorders>
              <w:top w:val="single" w:sz="8" w:space="0" w:color="auto"/>
              <w:left w:val="single" w:sz="8" w:space="0" w:color="auto"/>
              <w:bottom w:val="single" w:sz="8" w:space="0" w:color="auto"/>
              <w:right w:val="single" w:sz="4" w:space="0" w:color="auto"/>
            </w:tcBorders>
            <w:noWrap/>
            <w:vAlign w:val="bottom"/>
            <w:hideMark/>
          </w:tcPr>
          <w:p w:rsidR="00D4554E" w:rsidRDefault="00D4554E">
            <w:pPr>
              <w:spacing w:after="0"/>
              <w:jc w:val="left"/>
              <w:rPr>
                <w:rFonts w:cs="Arial"/>
                <w:b/>
                <w:bCs/>
                <w:sz w:val="16"/>
                <w:szCs w:val="16"/>
              </w:rPr>
            </w:pPr>
            <w:r>
              <w:rPr>
                <w:rFonts w:cs="Arial"/>
                <w:b/>
                <w:bCs/>
                <w:sz w:val="16"/>
                <w:szCs w:val="16"/>
              </w:rPr>
              <w:t>TOTALE</w:t>
            </w:r>
          </w:p>
        </w:tc>
        <w:tc>
          <w:tcPr>
            <w:tcW w:w="960" w:type="dxa"/>
            <w:tcBorders>
              <w:top w:val="single" w:sz="8" w:space="0" w:color="auto"/>
              <w:left w:val="nil"/>
              <w:bottom w:val="single" w:sz="8" w:space="0" w:color="auto"/>
              <w:right w:val="single" w:sz="4" w:space="0" w:color="auto"/>
            </w:tcBorders>
            <w:noWrap/>
            <w:vAlign w:val="bottom"/>
            <w:hideMark/>
          </w:tcPr>
          <w:p w:rsidR="00D4554E" w:rsidRDefault="00D4554E">
            <w:pPr>
              <w:spacing w:after="0"/>
              <w:jc w:val="left"/>
              <w:rPr>
                <w:rFonts w:cs="Arial"/>
                <w:b/>
                <w:bCs/>
                <w:sz w:val="16"/>
                <w:szCs w:val="16"/>
              </w:rPr>
            </w:pPr>
            <w:r>
              <w:rPr>
                <w:rFonts w:cs="Arial"/>
                <w:b/>
                <w:bCs/>
                <w:sz w:val="16"/>
                <w:szCs w:val="16"/>
              </w:rPr>
              <w:t> </w:t>
            </w:r>
          </w:p>
        </w:tc>
        <w:tc>
          <w:tcPr>
            <w:tcW w:w="1138" w:type="dxa"/>
            <w:tcBorders>
              <w:top w:val="single" w:sz="8" w:space="0" w:color="auto"/>
              <w:left w:val="nil"/>
              <w:bottom w:val="single" w:sz="8" w:space="0" w:color="auto"/>
              <w:right w:val="single" w:sz="4" w:space="0" w:color="auto"/>
            </w:tcBorders>
            <w:noWrap/>
            <w:vAlign w:val="bottom"/>
            <w:hideMark/>
          </w:tcPr>
          <w:p w:rsidR="00D4554E" w:rsidRDefault="00D4554E">
            <w:pPr>
              <w:spacing w:after="0"/>
              <w:jc w:val="right"/>
              <w:rPr>
                <w:rFonts w:cs="Arial"/>
                <w:b/>
                <w:bCs/>
                <w:sz w:val="16"/>
                <w:szCs w:val="16"/>
              </w:rPr>
            </w:pPr>
            <w:r>
              <w:rPr>
                <w:rFonts w:cs="Arial"/>
                <w:b/>
                <w:bCs/>
                <w:sz w:val="16"/>
                <w:szCs w:val="16"/>
              </w:rPr>
              <w:t>3.300</w:t>
            </w:r>
          </w:p>
        </w:tc>
      </w:tr>
    </w:tbl>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left"/>
        <w:rPr>
          <w:highlight w:val="yellow"/>
        </w:rPr>
      </w:pPr>
    </w:p>
    <w:p w:rsidR="00D4554E" w:rsidRDefault="00D4554E" w:rsidP="00D4554E">
      <w:pPr>
        <w:jc w:val="center"/>
        <w:rPr>
          <w:highlight w:val="yellow"/>
        </w:rPr>
      </w:pPr>
      <w:r>
        <w:rPr>
          <w:rFonts w:cs="Arial"/>
          <w:b/>
          <w:i/>
          <w:sz w:val="18"/>
          <w:szCs w:val="18"/>
        </w:rPr>
        <w:t>TLR Tab.2: Estensione rete</w:t>
      </w:r>
    </w:p>
    <w:p w:rsidR="00D4554E" w:rsidRDefault="00D4554E" w:rsidP="00D4554E">
      <w:pPr>
        <w:pStyle w:val="Titolo3"/>
        <w:numPr>
          <w:ilvl w:val="2"/>
          <w:numId w:val="5"/>
        </w:numPr>
        <w:spacing w:before="240"/>
      </w:pPr>
      <w:bookmarkStart w:id="37" w:name="_Toc364092529"/>
      <w:r>
        <w:lastRenderedPageBreak/>
        <w:t>Rete Secondaria</w:t>
      </w:r>
      <w:bookmarkEnd w:id="37"/>
    </w:p>
    <w:p w:rsidR="00D4554E" w:rsidRDefault="00D4554E" w:rsidP="00D4554E">
      <w:r>
        <w:t xml:space="preserve">Sono previste complessivamente nr. 22 nuove </w:t>
      </w:r>
      <w:proofErr w:type="spellStart"/>
      <w:r>
        <w:t>sottocentrali</w:t>
      </w:r>
      <w:proofErr w:type="spellEnd"/>
      <w:r>
        <w:t xml:space="preserve"> di scambio termico presso l’utenza, mediamente di 20 mt in DN65. Fanno eccezione le utenze di taglia maggiore, per le quali si prevede lo stacco dalla dorsale con allacci DN100. Ulteriori nr. 18 </w:t>
      </w:r>
      <w:proofErr w:type="spellStart"/>
      <w:r>
        <w:t>sottocentrali</w:t>
      </w:r>
      <w:proofErr w:type="spellEnd"/>
      <w:r>
        <w:t xml:space="preserve"> sono state individuate come potenzialmente allacciabili a breve alla rete in costruzione.</w:t>
      </w:r>
    </w:p>
    <w:p w:rsidR="00D4554E" w:rsidRDefault="00D4554E" w:rsidP="00D4554E">
      <w:pPr>
        <w:pStyle w:val="Titolo2"/>
        <w:numPr>
          <w:ilvl w:val="1"/>
          <w:numId w:val="5"/>
        </w:numPr>
        <w:spacing w:before="360" w:after="240"/>
      </w:pPr>
      <w:bookmarkStart w:id="38" w:name="_Toc364092530"/>
      <w:bookmarkStart w:id="39" w:name="_Toc328746499"/>
      <w:bookmarkEnd w:id="32"/>
      <w:r>
        <w:t>breve descrizione della rete di teleriscaldamento</w:t>
      </w:r>
      <w:bookmarkEnd w:id="38"/>
    </w:p>
    <w:p w:rsidR="00D4554E" w:rsidRDefault="00D4554E" w:rsidP="00D4554E">
      <w:pPr>
        <w:pStyle w:val="Titolo3"/>
        <w:numPr>
          <w:ilvl w:val="2"/>
          <w:numId w:val="5"/>
        </w:numPr>
        <w:spacing w:before="240"/>
      </w:pPr>
      <w:bookmarkStart w:id="40" w:name="_Toc364092531"/>
      <w:bookmarkStart w:id="41" w:name="_Toc345676225"/>
      <w:bookmarkStart w:id="42" w:name="_Toc345675974"/>
      <w:bookmarkStart w:id="43" w:name="_Toc328746498"/>
      <w:bookmarkStart w:id="44" w:name="_Toc232578393"/>
      <w:r>
        <w:t>Generalità</w:t>
      </w:r>
      <w:bookmarkEnd w:id="40"/>
      <w:bookmarkEnd w:id="41"/>
      <w:bookmarkEnd w:id="42"/>
      <w:bookmarkEnd w:id="43"/>
      <w:bookmarkEnd w:id="44"/>
    </w:p>
    <w:p w:rsidR="00D4554E" w:rsidRDefault="00D4554E" w:rsidP="00D4554E">
      <w:r>
        <w:t>Le scelte tecniche sono state dettate dagli input richiesti e dai vincoli al contorno di cui alla parte prima.</w:t>
      </w:r>
    </w:p>
    <w:p w:rsidR="00D4554E" w:rsidRDefault="00D4554E" w:rsidP="00D4554E">
      <w:r>
        <w:t xml:space="preserve">Essendo tale strada densa di sottoservizi, il percorso individuato è stato ottimizzato dopo aver effettuato vari sopralluoghi anche assieme ad altri enti </w:t>
      </w:r>
      <w:r w:rsidR="00F80427">
        <w:t>(</w:t>
      </w:r>
      <w:r>
        <w:t>Telecom, Acque Veronesi</w:t>
      </w:r>
      <w:r w:rsidR="00F80427">
        <w:t>)</w:t>
      </w:r>
      <w:r>
        <w:t xml:space="preserve">. </w:t>
      </w:r>
    </w:p>
    <w:p w:rsidR="00D4554E" w:rsidRDefault="00D4554E" w:rsidP="00D4554E">
      <w:pPr>
        <w:tabs>
          <w:tab w:val="right" w:pos="5670"/>
          <w:tab w:val="right" w:pos="7371"/>
        </w:tabs>
        <w:spacing w:before="120"/>
      </w:pPr>
      <w:r>
        <w:t>Sono state effettuate le seguenti ipotesi di progetto:</w:t>
      </w:r>
    </w:p>
    <w:p w:rsidR="00D4554E" w:rsidRDefault="00D4554E" w:rsidP="00D4554E">
      <w:pPr>
        <w:numPr>
          <w:ilvl w:val="0"/>
          <w:numId w:val="8"/>
        </w:numPr>
        <w:tabs>
          <w:tab w:val="right" w:pos="5670"/>
          <w:tab w:val="right" w:pos="7371"/>
        </w:tabs>
        <w:ind w:left="714" w:hanging="357"/>
      </w:pPr>
      <w:r>
        <w:t>Materiale</w:t>
      </w:r>
      <w:r>
        <w:tab/>
      </w:r>
      <w:r>
        <w:tab/>
      </w:r>
      <w:r>
        <w:tab/>
        <w:t>P235GH</w:t>
      </w:r>
      <w:r>
        <w:tab/>
      </w:r>
    </w:p>
    <w:p w:rsidR="00D4554E" w:rsidRDefault="00D4554E" w:rsidP="00D4554E">
      <w:pPr>
        <w:numPr>
          <w:ilvl w:val="0"/>
          <w:numId w:val="8"/>
        </w:numPr>
        <w:tabs>
          <w:tab w:val="right" w:pos="5670"/>
          <w:tab w:val="right" w:pos="7371"/>
        </w:tabs>
        <w:ind w:left="714" w:hanging="357"/>
      </w:pPr>
      <w:r>
        <w:t>Temperatura di progetto</w:t>
      </w:r>
      <w:r>
        <w:tab/>
      </w:r>
      <w:r>
        <w:tab/>
      </w:r>
      <w:r>
        <w:tab/>
        <w:t>90 °C</w:t>
      </w:r>
      <w:r>
        <w:tab/>
      </w:r>
    </w:p>
    <w:p w:rsidR="00D4554E" w:rsidRDefault="00D4554E" w:rsidP="00D4554E">
      <w:pPr>
        <w:numPr>
          <w:ilvl w:val="0"/>
          <w:numId w:val="8"/>
        </w:numPr>
        <w:tabs>
          <w:tab w:val="right" w:pos="5670"/>
          <w:tab w:val="right" w:pos="7371"/>
        </w:tabs>
        <w:ind w:left="714" w:hanging="357"/>
      </w:pPr>
      <w:r>
        <w:t>Temperatura di posa</w:t>
      </w:r>
      <w:r>
        <w:tab/>
      </w:r>
      <w:r>
        <w:tab/>
      </w:r>
      <w:r>
        <w:tab/>
        <w:t>10° C</w:t>
      </w:r>
      <w:r>
        <w:tab/>
      </w:r>
    </w:p>
    <w:p w:rsidR="00D4554E" w:rsidRDefault="00D4554E" w:rsidP="00D4554E">
      <w:pPr>
        <w:numPr>
          <w:ilvl w:val="0"/>
          <w:numId w:val="8"/>
        </w:numPr>
        <w:tabs>
          <w:tab w:val="right" w:pos="5670"/>
          <w:tab w:val="right" w:pos="7371"/>
        </w:tabs>
        <w:ind w:left="714" w:hanging="357"/>
      </w:pPr>
      <w:r>
        <w:t>Tensione equivalente massima ammissibile.</w:t>
      </w:r>
      <w:r>
        <w:tab/>
      </w:r>
      <w:r>
        <w:tab/>
      </w:r>
      <w:r>
        <w:tab/>
        <w:t>190 N/mm</w:t>
      </w:r>
      <w:r>
        <w:rPr>
          <w:vertAlign w:val="superscript"/>
        </w:rPr>
        <w:t>2</w:t>
      </w:r>
      <w:r>
        <w:t xml:space="preserve"> </w:t>
      </w:r>
    </w:p>
    <w:p w:rsidR="00D4554E" w:rsidRDefault="00D4554E" w:rsidP="00D4554E">
      <w:pPr>
        <w:pStyle w:val="Titolo3"/>
        <w:numPr>
          <w:ilvl w:val="2"/>
          <w:numId w:val="5"/>
        </w:numPr>
        <w:spacing w:before="240"/>
      </w:pPr>
      <w:bookmarkStart w:id="45" w:name="_Toc364092532"/>
      <w:bookmarkStart w:id="46" w:name="_Toc345676228"/>
      <w:bookmarkStart w:id="47" w:name="_Toc345675977"/>
      <w:bookmarkStart w:id="48" w:name="_Toc328746494"/>
      <w:r>
        <w:t>Dimensionamento TLR</w:t>
      </w:r>
      <w:bookmarkEnd w:id="45"/>
      <w:bookmarkEnd w:id="46"/>
      <w:bookmarkEnd w:id="47"/>
      <w:bookmarkEnd w:id="48"/>
    </w:p>
    <w:p w:rsidR="00D4554E" w:rsidRDefault="00D4554E" w:rsidP="00D4554E">
      <w:pPr>
        <w:tabs>
          <w:tab w:val="right" w:pos="5670"/>
          <w:tab w:val="right" w:pos="7371"/>
        </w:tabs>
        <w:spacing w:before="240"/>
      </w:pPr>
      <w:r>
        <w:t xml:space="preserve">Il dimensionamento della rete prevede due aspetti: </w:t>
      </w:r>
    </w:p>
    <w:p w:rsidR="00D4554E" w:rsidRDefault="00D4554E" w:rsidP="00D4554E">
      <w:pPr>
        <w:numPr>
          <w:ilvl w:val="0"/>
          <w:numId w:val="9"/>
        </w:numPr>
        <w:tabs>
          <w:tab w:val="right" w:pos="5670"/>
          <w:tab w:val="right" w:pos="7371"/>
        </w:tabs>
        <w:spacing w:before="240"/>
      </w:pPr>
      <w:r>
        <w:t xml:space="preserve">dimensionamento termico – idraulico  </w:t>
      </w:r>
    </w:p>
    <w:p w:rsidR="00D4554E" w:rsidRDefault="00D4554E" w:rsidP="00D4554E">
      <w:pPr>
        <w:numPr>
          <w:ilvl w:val="0"/>
          <w:numId w:val="9"/>
        </w:numPr>
        <w:tabs>
          <w:tab w:val="right" w:pos="5670"/>
          <w:tab w:val="right" w:pos="7371"/>
        </w:tabs>
        <w:spacing w:before="240"/>
      </w:pPr>
      <w:r>
        <w:t>dimensionamento meccanico (analisi degli stress termici).</w:t>
      </w:r>
    </w:p>
    <w:p w:rsidR="00C5224A" w:rsidRDefault="00C5224A">
      <w:pPr>
        <w:spacing w:after="0"/>
        <w:jc w:val="left"/>
        <w:rPr>
          <w:b/>
          <w:spacing w:val="10"/>
        </w:rPr>
      </w:pPr>
      <w:bookmarkStart w:id="49" w:name="_Toc364092533"/>
      <w:bookmarkStart w:id="50" w:name="_Toc345676229"/>
      <w:bookmarkStart w:id="51" w:name="_Toc345675978"/>
      <w:bookmarkStart w:id="52" w:name="_Toc328746495"/>
      <w:r>
        <w:br w:type="page"/>
      </w:r>
    </w:p>
    <w:p w:rsidR="00D4554E" w:rsidRDefault="00D4554E" w:rsidP="00D4554E">
      <w:pPr>
        <w:pStyle w:val="Titolo4"/>
        <w:numPr>
          <w:ilvl w:val="3"/>
          <w:numId w:val="5"/>
        </w:numPr>
        <w:tabs>
          <w:tab w:val="num" w:pos="851"/>
        </w:tabs>
        <w:spacing w:before="240"/>
        <w:ind w:left="3272" w:hanging="3275"/>
        <w:jc w:val="both"/>
      </w:pPr>
      <w:r>
        <w:lastRenderedPageBreak/>
        <w:t>Dimensionamento termico – idraulico</w:t>
      </w:r>
      <w:bookmarkEnd w:id="49"/>
      <w:r>
        <w:t xml:space="preserve">  </w:t>
      </w:r>
    </w:p>
    <w:bookmarkEnd w:id="50"/>
    <w:bookmarkEnd w:id="51"/>
    <w:bookmarkEnd w:id="52"/>
    <w:p w:rsidR="00D4554E" w:rsidRDefault="00D4554E" w:rsidP="00D4554E">
      <w:pPr>
        <w:autoSpaceDE w:val="0"/>
        <w:autoSpaceDN w:val="0"/>
        <w:adjustRightInd w:val="0"/>
        <w:spacing w:before="120" w:after="0"/>
        <w:jc w:val="left"/>
        <w:rPr>
          <w:rFonts w:cs="Arial"/>
        </w:rPr>
      </w:pPr>
      <w:r>
        <w:rPr>
          <w:rFonts w:cs="Arial"/>
        </w:rPr>
        <w:t>Per il dimensionamento idraulico è stato utilizzato il modello della rete di TLR di Centro Città.</w:t>
      </w:r>
    </w:p>
    <w:p w:rsidR="00D4554E" w:rsidRDefault="00D4554E" w:rsidP="00D4554E">
      <w:pPr>
        <w:tabs>
          <w:tab w:val="right" w:pos="5670"/>
          <w:tab w:val="right" w:pos="7371"/>
        </w:tabs>
        <w:spacing w:before="120" w:after="0"/>
      </w:pPr>
      <w:r>
        <w:rPr>
          <w:rFonts w:cs="Arial"/>
        </w:rPr>
        <w:t>L’ipotesi di calcolo è: rete in assetto di punta mattutina con temperatura esterna di -1°C (media giorno).</w:t>
      </w:r>
    </w:p>
    <w:p w:rsidR="00D4554E" w:rsidRDefault="00D4554E" w:rsidP="00D4554E">
      <w:pPr>
        <w:tabs>
          <w:tab w:val="right" w:pos="5670"/>
          <w:tab w:val="right" w:pos="7371"/>
        </w:tabs>
        <w:spacing w:before="120" w:after="0"/>
      </w:pPr>
      <w:r>
        <w:t>La planimetria sottostante riporta uno stralcio della simulazione effettuata; si rimanda al progetto “Reti” per maggiori dettagli.</w:t>
      </w:r>
    </w:p>
    <w:p w:rsidR="00C5224A" w:rsidRDefault="00C5224A" w:rsidP="00D4554E">
      <w:pPr>
        <w:tabs>
          <w:tab w:val="right" w:pos="5670"/>
          <w:tab w:val="right" w:pos="7371"/>
        </w:tabs>
        <w:spacing w:before="120" w:after="0"/>
      </w:pPr>
    </w:p>
    <w:p w:rsidR="00D4554E" w:rsidRDefault="00D4554E" w:rsidP="00D4554E">
      <w:pPr>
        <w:tabs>
          <w:tab w:val="right" w:pos="5670"/>
          <w:tab w:val="right" w:pos="7371"/>
        </w:tabs>
        <w:spacing w:before="120" w:after="0"/>
      </w:pPr>
      <w:r>
        <w:rPr>
          <w:noProof/>
        </w:rPr>
        <w:drawing>
          <wp:inline distT="0" distB="0" distL="0" distR="0" wp14:anchorId="1DE47606" wp14:editId="60907ED9">
            <wp:extent cx="6106601" cy="4915153"/>
            <wp:effectExtent l="0" t="0" r="889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06789" cy="4915304"/>
                    </a:xfrm>
                    <a:prstGeom prst="rect">
                      <a:avLst/>
                    </a:prstGeom>
                    <a:noFill/>
                    <a:ln>
                      <a:noFill/>
                    </a:ln>
                  </pic:spPr>
                </pic:pic>
              </a:graphicData>
            </a:graphic>
          </wp:inline>
        </w:drawing>
      </w:r>
    </w:p>
    <w:p w:rsidR="00D4554E" w:rsidRDefault="00C5224A" w:rsidP="00D4554E">
      <w:pPr>
        <w:ind w:left="360"/>
        <w:jc w:val="center"/>
        <w:rPr>
          <w:rFonts w:cs="Arial"/>
          <w:b/>
          <w:sz w:val="18"/>
          <w:szCs w:val="18"/>
        </w:rPr>
      </w:pPr>
      <w:bookmarkStart w:id="53" w:name="_Toc345676230"/>
      <w:bookmarkStart w:id="54" w:name="_Toc345675979"/>
      <w:bookmarkStart w:id="55" w:name="_Toc328746496"/>
      <w:r>
        <w:rPr>
          <w:rFonts w:cs="Arial"/>
          <w:b/>
          <w:sz w:val="18"/>
          <w:szCs w:val="18"/>
        </w:rPr>
        <w:t>Fig.3</w:t>
      </w:r>
      <w:r w:rsidR="00D4554E">
        <w:rPr>
          <w:rFonts w:cs="Arial"/>
          <w:b/>
          <w:sz w:val="18"/>
          <w:szCs w:val="18"/>
        </w:rPr>
        <w:t xml:space="preserve">: simulazione idraulica delle velocità </w:t>
      </w:r>
    </w:p>
    <w:p w:rsidR="00C5224A" w:rsidRDefault="00C5224A" w:rsidP="00D4554E">
      <w:pPr>
        <w:ind w:left="360"/>
        <w:jc w:val="center"/>
        <w:rPr>
          <w:rFonts w:cs="Arial"/>
          <w:b/>
          <w:sz w:val="18"/>
          <w:szCs w:val="18"/>
        </w:rPr>
      </w:pPr>
    </w:p>
    <w:p w:rsidR="00D4554E" w:rsidRDefault="00D4554E" w:rsidP="00D4554E">
      <w:pPr>
        <w:pStyle w:val="Titolo4"/>
        <w:numPr>
          <w:ilvl w:val="3"/>
          <w:numId w:val="5"/>
        </w:numPr>
        <w:tabs>
          <w:tab w:val="num" w:pos="851"/>
        </w:tabs>
        <w:spacing w:before="240"/>
        <w:ind w:left="3272" w:hanging="3275"/>
        <w:jc w:val="both"/>
        <w:rPr>
          <w:b w:val="0"/>
        </w:rPr>
      </w:pPr>
      <w:bookmarkStart w:id="56" w:name="_Toc364092534"/>
      <w:r>
        <w:t>Dimensionamento meccanico (analisi degli stress termici).</w:t>
      </w:r>
      <w:bookmarkEnd w:id="53"/>
      <w:bookmarkEnd w:id="54"/>
      <w:bookmarkEnd w:id="55"/>
      <w:bookmarkEnd w:id="56"/>
    </w:p>
    <w:p w:rsidR="00D4554E" w:rsidRDefault="00D4554E" w:rsidP="00D4554E">
      <w:pPr>
        <w:autoSpaceDE w:val="0"/>
        <w:autoSpaceDN w:val="0"/>
        <w:adjustRightInd w:val="0"/>
        <w:spacing w:before="120" w:after="0"/>
        <w:jc w:val="left"/>
        <w:rPr>
          <w:rFonts w:cs="Arial"/>
        </w:rPr>
      </w:pPr>
      <w:r>
        <w:rPr>
          <w:rFonts w:cs="Arial"/>
        </w:rPr>
        <w:t>Già in questa fase di sviluppo del progetto è stato predisposto il calcolo di stress termico secondo UNI 13941.</w:t>
      </w:r>
    </w:p>
    <w:bookmarkEnd w:id="33"/>
    <w:bookmarkEnd w:id="39"/>
    <w:p w:rsidR="00D4554E" w:rsidRDefault="00D4554E" w:rsidP="00D4554E">
      <w:pPr>
        <w:spacing w:after="0"/>
      </w:pPr>
    </w:p>
    <w:p w:rsidR="00233252" w:rsidRDefault="00233252"/>
    <w:sectPr w:rsidR="00233252">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A5DA7"/>
    <w:multiLevelType w:val="hybridMultilevel"/>
    <w:tmpl w:val="4162CB98"/>
    <w:lvl w:ilvl="0" w:tplc="69D0E9B0">
      <w:start w:val="1"/>
      <w:numFmt w:val="decimal"/>
      <w:lvlText w:val="%1)"/>
      <w:lvlJc w:val="left"/>
      <w:pPr>
        <w:tabs>
          <w:tab w:val="num" w:pos="720"/>
        </w:tabs>
        <w:ind w:left="720" w:hanging="360"/>
      </w:p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lvl>
    <w:lvl w:ilvl="4" w:tplc="04100019">
      <w:start w:val="1"/>
      <w:numFmt w:val="lowerLetter"/>
      <w:lvlText w:val="%5."/>
      <w:lvlJc w:val="left"/>
      <w:pPr>
        <w:tabs>
          <w:tab w:val="num" w:pos="3600"/>
        </w:tabs>
        <w:ind w:left="3600" w:hanging="360"/>
      </w:pPr>
    </w:lvl>
    <w:lvl w:ilvl="5" w:tplc="0410001B">
      <w:start w:val="1"/>
      <w:numFmt w:val="lowerRoman"/>
      <w:lvlText w:val="%6."/>
      <w:lvlJc w:val="right"/>
      <w:pPr>
        <w:tabs>
          <w:tab w:val="num" w:pos="4320"/>
        </w:tabs>
        <w:ind w:left="4320" w:hanging="180"/>
      </w:pPr>
    </w:lvl>
    <w:lvl w:ilvl="6" w:tplc="0410000F">
      <w:start w:val="1"/>
      <w:numFmt w:val="decimal"/>
      <w:lvlText w:val="%7."/>
      <w:lvlJc w:val="left"/>
      <w:pPr>
        <w:tabs>
          <w:tab w:val="num" w:pos="5040"/>
        </w:tabs>
        <w:ind w:left="5040" w:hanging="360"/>
      </w:pPr>
    </w:lvl>
    <w:lvl w:ilvl="7" w:tplc="04100019">
      <w:start w:val="1"/>
      <w:numFmt w:val="lowerLetter"/>
      <w:lvlText w:val="%8."/>
      <w:lvlJc w:val="left"/>
      <w:pPr>
        <w:tabs>
          <w:tab w:val="num" w:pos="5760"/>
        </w:tabs>
        <w:ind w:left="5760" w:hanging="360"/>
      </w:pPr>
    </w:lvl>
    <w:lvl w:ilvl="8" w:tplc="0410001B">
      <w:start w:val="1"/>
      <w:numFmt w:val="lowerRoman"/>
      <w:lvlText w:val="%9."/>
      <w:lvlJc w:val="right"/>
      <w:pPr>
        <w:tabs>
          <w:tab w:val="num" w:pos="6480"/>
        </w:tabs>
        <w:ind w:left="6480" w:hanging="180"/>
      </w:pPr>
    </w:lvl>
  </w:abstractNum>
  <w:abstractNum w:abstractNumId="1">
    <w:nsid w:val="127A7F80"/>
    <w:multiLevelType w:val="hybridMultilevel"/>
    <w:tmpl w:val="A36CD528"/>
    <w:lvl w:ilvl="0" w:tplc="D4A8BA52">
      <w:start w:val="1"/>
      <w:numFmt w:val="bullet"/>
      <w:lvlText w:val="-"/>
      <w:lvlJc w:val="left"/>
      <w:pPr>
        <w:tabs>
          <w:tab w:val="num" w:pos="720"/>
        </w:tabs>
        <w:ind w:left="720" w:hanging="360"/>
      </w:pPr>
      <w:rPr>
        <w:rFonts w:ascii="Arial" w:eastAsia="Times New Roman" w:hAnsi="Arial" w:cs="Aria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
    <w:nsid w:val="2F870A11"/>
    <w:multiLevelType w:val="hybridMultilevel"/>
    <w:tmpl w:val="CD2CA07E"/>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Times New Roman"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cs="Times New Roman"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Times New Roman"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3">
    <w:nsid w:val="5E3E2E13"/>
    <w:multiLevelType w:val="multilevel"/>
    <w:tmpl w:val="A790DCD2"/>
    <w:lvl w:ilvl="0">
      <w:start w:val="1"/>
      <w:numFmt w:val="decimal"/>
      <w:lvlText w:val="%1"/>
      <w:lvlJc w:val="left"/>
      <w:pPr>
        <w:tabs>
          <w:tab w:val="num" w:pos="1850"/>
        </w:tabs>
        <w:ind w:left="1850"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3275"/>
        </w:tabs>
        <w:ind w:left="3275"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nsid w:val="61147E08"/>
    <w:multiLevelType w:val="hybridMultilevel"/>
    <w:tmpl w:val="805A78F0"/>
    <w:lvl w:ilvl="0" w:tplc="0410000F">
      <w:start w:val="1"/>
      <w:numFmt w:val="decimal"/>
      <w:lvlText w:val="%1."/>
      <w:lvlJc w:val="left"/>
      <w:pPr>
        <w:tabs>
          <w:tab w:val="num" w:pos="720"/>
        </w:tabs>
        <w:ind w:left="720" w:hanging="360"/>
      </w:p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lvl>
    <w:lvl w:ilvl="4" w:tplc="04100019">
      <w:start w:val="1"/>
      <w:numFmt w:val="lowerLetter"/>
      <w:lvlText w:val="%5."/>
      <w:lvlJc w:val="left"/>
      <w:pPr>
        <w:tabs>
          <w:tab w:val="num" w:pos="3600"/>
        </w:tabs>
        <w:ind w:left="3600" w:hanging="360"/>
      </w:pPr>
    </w:lvl>
    <w:lvl w:ilvl="5" w:tplc="0410001B">
      <w:start w:val="1"/>
      <w:numFmt w:val="lowerRoman"/>
      <w:lvlText w:val="%6."/>
      <w:lvlJc w:val="right"/>
      <w:pPr>
        <w:tabs>
          <w:tab w:val="num" w:pos="4320"/>
        </w:tabs>
        <w:ind w:left="4320" w:hanging="180"/>
      </w:pPr>
    </w:lvl>
    <w:lvl w:ilvl="6" w:tplc="0410000F">
      <w:start w:val="1"/>
      <w:numFmt w:val="decimal"/>
      <w:lvlText w:val="%7."/>
      <w:lvlJc w:val="left"/>
      <w:pPr>
        <w:tabs>
          <w:tab w:val="num" w:pos="5040"/>
        </w:tabs>
        <w:ind w:left="5040" w:hanging="360"/>
      </w:pPr>
    </w:lvl>
    <w:lvl w:ilvl="7" w:tplc="04100019">
      <w:start w:val="1"/>
      <w:numFmt w:val="lowerLetter"/>
      <w:lvlText w:val="%8."/>
      <w:lvlJc w:val="left"/>
      <w:pPr>
        <w:tabs>
          <w:tab w:val="num" w:pos="5760"/>
        </w:tabs>
        <w:ind w:left="5760" w:hanging="360"/>
      </w:pPr>
    </w:lvl>
    <w:lvl w:ilvl="8" w:tplc="0410001B">
      <w:start w:val="1"/>
      <w:numFmt w:val="lowerRoman"/>
      <w:lvlText w:val="%9."/>
      <w:lvlJc w:val="right"/>
      <w:pPr>
        <w:tabs>
          <w:tab w:val="num" w:pos="6480"/>
        </w:tabs>
        <w:ind w:left="6480" w:hanging="180"/>
      </w:pPr>
    </w:lvl>
  </w:abstractNum>
  <w:abstractNum w:abstractNumId="5">
    <w:nsid w:val="61972914"/>
    <w:multiLevelType w:val="multilevel"/>
    <w:tmpl w:val="42F6524C"/>
    <w:lvl w:ilvl="0">
      <w:start w:val="1"/>
      <w:numFmt w:val="decimal"/>
      <w:pStyle w:val="Tito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7E1116DD"/>
    <w:multiLevelType w:val="multilevel"/>
    <w:tmpl w:val="3C562D2C"/>
    <w:lvl w:ilvl="0">
      <w:start w:val="1"/>
      <w:numFmt w:val="decimal"/>
      <w:lvlText w:val="A%1."/>
      <w:lvlJc w:val="left"/>
      <w:pPr>
        <w:tabs>
          <w:tab w:val="num" w:pos="432"/>
        </w:tabs>
        <w:ind w:left="432" w:hanging="432"/>
      </w:pPr>
      <w:rPr>
        <w:rFonts w:hint="default"/>
      </w:rPr>
    </w:lvl>
    <w:lvl w:ilvl="1">
      <w:start w:val="1"/>
      <w:numFmt w:val="decimal"/>
      <w:pStyle w:val="Titolo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5"/>
  </w:num>
  <w:num w:numId="2">
    <w:abstractNumId w:val="6"/>
  </w:num>
  <w:num w:numId="3">
    <w:abstractNumId w:val="5"/>
  </w:num>
  <w:num w:numId="4">
    <w:abstractNumId w:val="6"/>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2"/>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283"/>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54E"/>
    <w:rsid w:val="00233252"/>
    <w:rsid w:val="00363C97"/>
    <w:rsid w:val="00422C7A"/>
    <w:rsid w:val="00B76F05"/>
    <w:rsid w:val="00C5224A"/>
    <w:rsid w:val="00D4554E"/>
    <w:rsid w:val="00F8042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4554E"/>
    <w:pPr>
      <w:spacing w:after="120"/>
      <w:jc w:val="both"/>
    </w:pPr>
    <w:rPr>
      <w:rFonts w:ascii="Arial" w:hAnsi="Arial"/>
      <w:lang w:eastAsia="it-IT"/>
    </w:rPr>
  </w:style>
  <w:style w:type="paragraph" w:styleId="Titolo1">
    <w:name w:val="heading 1"/>
    <w:aliases w:val="H1"/>
    <w:basedOn w:val="Normale"/>
    <w:next w:val="Normale"/>
    <w:link w:val="Titolo1Carattere"/>
    <w:autoRedefine/>
    <w:qFormat/>
    <w:rsid w:val="00B76F05"/>
    <w:pPr>
      <w:keepNext/>
      <w:numPr>
        <w:numId w:val="3"/>
      </w:numPr>
      <w:spacing w:before="120"/>
      <w:outlineLvl w:val="0"/>
    </w:pPr>
    <w:rPr>
      <w:b/>
      <w:caps/>
      <w:kern w:val="28"/>
      <w:sz w:val="28"/>
      <w:szCs w:val="28"/>
    </w:rPr>
  </w:style>
  <w:style w:type="paragraph" w:styleId="Titolo2">
    <w:name w:val="heading 2"/>
    <w:basedOn w:val="Normale"/>
    <w:next w:val="Normale"/>
    <w:link w:val="Titolo2Carattere"/>
    <w:qFormat/>
    <w:rsid w:val="00B76F05"/>
    <w:pPr>
      <w:keepNext/>
      <w:numPr>
        <w:ilvl w:val="1"/>
        <w:numId w:val="4"/>
      </w:numPr>
      <w:outlineLvl w:val="1"/>
    </w:pPr>
    <w:rPr>
      <w:b/>
    </w:rPr>
  </w:style>
  <w:style w:type="paragraph" w:styleId="Titolo3">
    <w:name w:val="heading 3"/>
    <w:aliases w:val="H3"/>
    <w:basedOn w:val="Normale"/>
    <w:next w:val="Normale"/>
    <w:link w:val="Titolo3Carattere"/>
    <w:qFormat/>
    <w:rsid w:val="00B76F05"/>
    <w:pPr>
      <w:keepNext/>
      <w:outlineLvl w:val="2"/>
    </w:pPr>
    <w:rPr>
      <w:u w:val="single"/>
    </w:rPr>
  </w:style>
  <w:style w:type="paragraph" w:styleId="Titolo4">
    <w:name w:val="heading 4"/>
    <w:basedOn w:val="Normale"/>
    <w:next w:val="Normale"/>
    <w:link w:val="Titolo4Carattere"/>
    <w:qFormat/>
    <w:rsid w:val="00B76F05"/>
    <w:pPr>
      <w:keepNext/>
      <w:spacing w:before="120"/>
      <w:jc w:val="center"/>
      <w:outlineLvl w:val="3"/>
    </w:pPr>
    <w:rPr>
      <w:b/>
      <w:spacing w:val="10"/>
    </w:rPr>
  </w:style>
  <w:style w:type="paragraph" w:styleId="Titolo5">
    <w:name w:val="heading 5"/>
    <w:basedOn w:val="Normale"/>
    <w:next w:val="Rientronormale"/>
    <w:link w:val="Titolo5Carattere"/>
    <w:qFormat/>
    <w:rsid w:val="00B76F05"/>
    <w:pPr>
      <w:spacing w:before="120"/>
      <w:outlineLvl w:val="4"/>
    </w:pPr>
  </w:style>
  <w:style w:type="paragraph" w:styleId="Titolo6">
    <w:name w:val="heading 6"/>
    <w:basedOn w:val="Normale"/>
    <w:next w:val="Normale"/>
    <w:link w:val="Titolo6Carattere"/>
    <w:qFormat/>
    <w:rsid w:val="00B76F05"/>
    <w:pPr>
      <w:keepNext/>
      <w:outlineLvl w:val="5"/>
    </w:pPr>
  </w:style>
  <w:style w:type="paragraph" w:styleId="Titolo7">
    <w:name w:val="heading 7"/>
    <w:basedOn w:val="Normale"/>
    <w:next w:val="Normale"/>
    <w:link w:val="Titolo7Carattere"/>
    <w:qFormat/>
    <w:rsid w:val="00B76F05"/>
    <w:pPr>
      <w:keepNext/>
      <w:spacing w:before="240" w:after="60"/>
      <w:outlineLvl w:val="6"/>
    </w:pPr>
    <w:rPr>
      <w:b/>
      <w:bCs/>
    </w:rPr>
  </w:style>
  <w:style w:type="paragraph" w:styleId="Titolo8">
    <w:name w:val="heading 8"/>
    <w:basedOn w:val="Normale"/>
    <w:next w:val="Normale"/>
    <w:link w:val="Titolo8Carattere"/>
    <w:qFormat/>
    <w:rsid w:val="00B76F05"/>
    <w:pPr>
      <w:keepNext/>
      <w:outlineLvl w:val="7"/>
    </w:pPr>
    <w:rPr>
      <w:b/>
    </w:rPr>
  </w:style>
  <w:style w:type="paragraph" w:styleId="Titolo9">
    <w:name w:val="heading 9"/>
    <w:basedOn w:val="Normale"/>
    <w:next w:val="Normale"/>
    <w:link w:val="Titolo9Carattere"/>
    <w:qFormat/>
    <w:rsid w:val="00B76F05"/>
    <w:pPr>
      <w:keepNex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H1 Carattere"/>
    <w:basedOn w:val="Carpredefinitoparagrafo"/>
    <w:link w:val="Titolo1"/>
    <w:rsid w:val="00B76F05"/>
    <w:rPr>
      <w:rFonts w:ascii="Arial" w:hAnsi="Arial"/>
      <w:b/>
      <w:caps/>
      <w:kern w:val="28"/>
      <w:sz w:val="28"/>
      <w:szCs w:val="28"/>
      <w:lang w:eastAsia="it-IT"/>
    </w:rPr>
  </w:style>
  <w:style w:type="character" w:customStyle="1" w:styleId="Titolo2Carattere">
    <w:name w:val="Titolo 2 Carattere"/>
    <w:basedOn w:val="Carpredefinitoparagrafo"/>
    <w:link w:val="Titolo2"/>
    <w:rsid w:val="00B76F05"/>
    <w:rPr>
      <w:rFonts w:ascii="Arial" w:hAnsi="Arial"/>
      <w:b/>
      <w:lang w:eastAsia="it-IT"/>
    </w:rPr>
  </w:style>
  <w:style w:type="character" w:customStyle="1" w:styleId="Titolo3Carattere">
    <w:name w:val="Titolo 3 Carattere"/>
    <w:aliases w:val="H3 Carattere"/>
    <w:basedOn w:val="Carpredefinitoparagrafo"/>
    <w:link w:val="Titolo3"/>
    <w:rsid w:val="00B76F05"/>
    <w:rPr>
      <w:rFonts w:ascii="Arial" w:hAnsi="Arial"/>
      <w:u w:val="single"/>
      <w:lang w:eastAsia="it-IT"/>
    </w:rPr>
  </w:style>
  <w:style w:type="character" w:customStyle="1" w:styleId="Titolo4Carattere">
    <w:name w:val="Titolo 4 Carattere"/>
    <w:basedOn w:val="Carpredefinitoparagrafo"/>
    <w:link w:val="Titolo4"/>
    <w:rsid w:val="00B76F05"/>
    <w:rPr>
      <w:rFonts w:ascii="Arial" w:hAnsi="Arial"/>
      <w:b/>
      <w:spacing w:val="10"/>
      <w:lang w:eastAsia="it-IT"/>
    </w:rPr>
  </w:style>
  <w:style w:type="character" w:customStyle="1" w:styleId="Titolo5Carattere">
    <w:name w:val="Titolo 5 Carattere"/>
    <w:basedOn w:val="Carpredefinitoparagrafo"/>
    <w:link w:val="Titolo5"/>
    <w:rsid w:val="00B76F05"/>
    <w:rPr>
      <w:rFonts w:ascii="Arial" w:hAnsi="Arial"/>
      <w:lang w:eastAsia="it-IT"/>
    </w:rPr>
  </w:style>
  <w:style w:type="paragraph" w:styleId="Rientronormale">
    <w:name w:val="Normal Indent"/>
    <w:basedOn w:val="Normale"/>
    <w:uiPriority w:val="99"/>
    <w:semiHidden/>
    <w:unhideWhenUsed/>
    <w:rsid w:val="00B76F05"/>
    <w:pPr>
      <w:ind w:left="708"/>
    </w:pPr>
  </w:style>
  <w:style w:type="character" w:customStyle="1" w:styleId="Titolo6Carattere">
    <w:name w:val="Titolo 6 Carattere"/>
    <w:basedOn w:val="Carpredefinitoparagrafo"/>
    <w:link w:val="Titolo6"/>
    <w:rsid w:val="00B76F05"/>
    <w:rPr>
      <w:rFonts w:ascii="Arial" w:hAnsi="Arial"/>
      <w:lang w:eastAsia="it-IT"/>
    </w:rPr>
  </w:style>
  <w:style w:type="character" w:customStyle="1" w:styleId="Titolo7Carattere">
    <w:name w:val="Titolo 7 Carattere"/>
    <w:basedOn w:val="Carpredefinitoparagrafo"/>
    <w:link w:val="Titolo7"/>
    <w:rsid w:val="00B76F05"/>
    <w:rPr>
      <w:rFonts w:ascii="Arial" w:hAnsi="Arial"/>
      <w:b/>
      <w:bCs/>
      <w:lang w:eastAsia="it-IT"/>
    </w:rPr>
  </w:style>
  <w:style w:type="character" w:customStyle="1" w:styleId="Titolo8Carattere">
    <w:name w:val="Titolo 8 Carattere"/>
    <w:basedOn w:val="Carpredefinitoparagrafo"/>
    <w:link w:val="Titolo8"/>
    <w:rsid w:val="00B76F05"/>
    <w:rPr>
      <w:rFonts w:ascii="Arial" w:hAnsi="Arial"/>
      <w:b/>
      <w:lang w:eastAsia="it-IT"/>
    </w:rPr>
  </w:style>
  <w:style w:type="character" w:customStyle="1" w:styleId="Titolo9Carattere">
    <w:name w:val="Titolo 9 Carattere"/>
    <w:basedOn w:val="Carpredefinitoparagrafo"/>
    <w:link w:val="Titolo9"/>
    <w:rsid w:val="00B76F05"/>
    <w:rPr>
      <w:rFonts w:ascii="Arial" w:hAnsi="Arial"/>
      <w:lang w:eastAsia="it-IT"/>
    </w:rPr>
  </w:style>
  <w:style w:type="paragraph" w:styleId="Testofumetto">
    <w:name w:val="Balloon Text"/>
    <w:basedOn w:val="Normale"/>
    <w:link w:val="TestofumettoCarattere"/>
    <w:uiPriority w:val="99"/>
    <w:semiHidden/>
    <w:unhideWhenUsed/>
    <w:rsid w:val="00D4554E"/>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4554E"/>
    <w:rPr>
      <w:rFonts w:ascii="Tahoma" w:hAnsi="Tahoma" w:cs="Tahoma"/>
      <w:sz w:val="16"/>
      <w:szCs w:val="16"/>
      <w:lang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4554E"/>
    <w:pPr>
      <w:spacing w:after="120"/>
      <w:jc w:val="both"/>
    </w:pPr>
    <w:rPr>
      <w:rFonts w:ascii="Arial" w:hAnsi="Arial"/>
      <w:lang w:eastAsia="it-IT"/>
    </w:rPr>
  </w:style>
  <w:style w:type="paragraph" w:styleId="Titolo1">
    <w:name w:val="heading 1"/>
    <w:aliases w:val="H1"/>
    <w:basedOn w:val="Normale"/>
    <w:next w:val="Normale"/>
    <w:link w:val="Titolo1Carattere"/>
    <w:autoRedefine/>
    <w:qFormat/>
    <w:rsid w:val="00B76F05"/>
    <w:pPr>
      <w:keepNext/>
      <w:numPr>
        <w:numId w:val="3"/>
      </w:numPr>
      <w:spacing w:before="120"/>
      <w:outlineLvl w:val="0"/>
    </w:pPr>
    <w:rPr>
      <w:b/>
      <w:caps/>
      <w:kern w:val="28"/>
      <w:sz w:val="28"/>
      <w:szCs w:val="28"/>
    </w:rPr>
  </w:style>
  <w:style w:type="paragraph" w:styleId="Titolo2">
    <w:name w:val="heading 2"/>
    <w:basedOn w:val="Normale"/>
    <w:next w:val="Normale"/>
    <w:link w:val="Titolo2Carattere"/>
    <w:qFormat/>
    <w:rsid w:val="00B76F05"/>
    <w:pPr>
      <w:keepNext/>
      <w:numPr>
        <w:ilvl w:val="1"/>
        <w:numId w:val="4"/>
      </w:numPr>
      <w:outlineLvl w:val="1"/>
    </w:pPr>
    <w:rPr>
      <w:b/>
    </w:rPr>
  </w:style>
  <w:style w:type="paragraph" w:styleId="Titolo3">
    <w:name w:val="heading 3"/>
    <w:aliases w:val="H3"/>
    <w:basedOn w:val="Normale"/>
    <w:next w:val="Normale"/>
    <w:link w:val="Titolo3Carattere"/>
    <w:qFormat/>
    <w:rsid w:val="00B76F05"/>
    <w:pPr>
      <w:keepNext/>
      <w:outlineLvl w:val="2"/>
    </w:pPr>
    <w:rPr>
      <w:u w:val="single"/>
    </w:rPr>
  </w:style>
  <w:style w:type="paragraph" w:styleId="Titolo4">
    <w:name w:val="heading 4"/>
    <w:basedOn w:val="Normale"/>
    <w:next w:val="Normale"/>
    <w:link w:val="Titolo4Carattere"/>
    <w:qFormat/>
    <w:rsid w:val="00B76F05"/>
    <w:pPr>
      <w:keepNext/>
      <w:spacing w:before="120"/>
      <w:jc w:val="center"/>
      <w:outlineLvl w:val="3"/>
    </w:pPr>
    <w:rPr>
      <w:b/>
      <w:spacing w:val="10"/>
    </w:rPr>
  </w:style>
  <w:style w:type="paragraph" w:styleId="Titolo5">
    <w:name w:val="heading 5"/>
    <w:basedOn w:val="Normale"/>
    <w:next w:val="Rientronormale"/>
    <w:link w:val="Titolo5Carattere"/>
    <w:qFormat/>
    <w:rsid w:val="00B76F05"/>
    <w:pPr>
      <w:spacing w:before="120"/>
      <w:outlineLvl w:val="4"/>
    </w:pPr>
  </w:style>
  <w:style w:type="paragraph" w:styleId="Titolo6">
    <w:name w:val="heading 6"/>
    <w:basedOn w:val="Normale"/>
    <w:next w:val="Normale"/>
    <w:link w:val="Titolo6Carattere"/>
    <w:qFormat/>
    <w:rsid w:val="00B76F05"/>
    <w:pPr>
      <w:keepNext/>
      <w:outlineLvl w:val="5"/>
    </w:pPr>
  </w:style>
  <w:style w:type="paragraph" w:styleId="Titolo7">
    <w:name w:val="heading 7"/>
    <w:basedOn w:val="Normale"/>
    <w:next w:val="Normale"/>
    <w:link w:val="Titolo7Carattere"/>
    <w:qFormat/>
    <w:rsid w:val="00B76F05"/>
    <w:pPr>
      <w:keepNext/>
      <w:spacing w:before="240" w:after="60"/>
      <w:outlineLvl w:val="6"/>
    </w:pPr>
    <w:rPr>
      <w:b/>
      <w:bCs/>
    </w:rPr>
  </w:style>
  <w:style w:type="paragraph" w:styleId="Titolo8">
    <w:name w:val="heading 8"/>
    <w:basedOn w:val="Normale"/>
    <w:next w:val="Normale"/>
    <w:link w:val="Titolo8Carattere"/>
    <w:qFormat/>
    <w:rsid w:val="00B76F05"/>
    <w:pPr>
      <w:keepNext/>
      <w:outlineLvl w:val="7"/>
    </w:pPr>
    <w:rPr>
      <w:b/>
    </w:rPr>
  </w:style>
  <w:style w:type="paragraph" w:styleId="Titolo9">
    <w:name w:val="heading 9"/>
    <w:basedOn w:val="Normale"/>
    <w:next w:val="Normale"/>
    <w:link w:val="Titolo9Carattere"/>
    <w:qFormat/>
    <w:rsid w:val="00B76F05"/>
    <w:pPr>
      <w:keepNex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H1 Carattere"/>
    <w:basedOn w:val="Carpredefinitoparagrafo"/>
    <w:link w:val="Titolo1"/>
    <w:rsid w:val="00B76F05"/>
    <w:rPr>
      <w:rFonts w:ascii="Arial" w:hAnsi="Arial"/>
      <w:b/>
      <w:caps/>
      <w:kern w:val="28"/>
      <w:sz w:val="28"/>
      <w:szCs w:val="28"/>
      <w:lang w:eastAsia="it-IT"/>
    </w:rPr>
  </w:style>
  <w:style w:type="character" w:customStyle="1" w:styleId="Titolo2Carattere">
    <w:name w:val="Titolo 2 Carattere"/>
    <w:basedOn w:val="Carpredefinitoparagrafo"/>
    <w:link w:val="Titolo2"/>
    <w:rsid w:val="00B76F05"/>
    <w:rPr>
      <w:rFonts w:ascii="Arial" w:hAnsi="Arial"/>
      <w:b/>
      <w:lang w:eastAsia="it-IT"/>
    </w:rPr>
  </w:style>
  <w:style w:type="character" w:customStyle="1" w:styleId="Titolo3Carattere">
    <w:name w:val="Titolo 3 Carattere"/>
    <w:aliases w:val="H3 Carattere"/>
    <w:basedOn w:val="Carpredefinitoparagrafo"/>
    <w:link w:val="Titolo3"/>
    <w:rsid w:val="00B76F05"/>
    <w:rPr>
      <w:rFonts w:ascii="Arial" w:hAnsi="Arial"/>
      <w:u w:val="single"/>
      <w:lang w:eastAsia="it-IT"/>
    </w:rPr>
  </w:style>
  <w:style w:type="character" w:customStyle="1" w:styleId="Titolo4Carattere">
    <w:name w:val="Titolo 4 Carattere"/>
    <w:basedOn w:val="Carpredefinitoparagrafo"/>
    <w:link w:val="Titolo4"/>
    <w:rsid w:val="00B76F05"/>
    <w:rPr>
      <w:rFonts w:ascii="Arial" w:hAnsi="Arial"/>
      <w:b/>
      <w:spacing w:val="10"/>
      <w:lang w:eastAsia="it-IT"/>
    </w:rPr>
  </w:style>
  <w:style w:type="character" w:customStyle="1" w:styleId="Titolo5Carattere">
    <w:name w:val="Titolo 5 Carattere"/>
    <w:basedOn w:val="Carpredefinitoparagrafo"/>
    <w:link w:val="Titolo5"/>
    <w:rsid w:val="00B76F05"/>
    <w:rPr>
      <w:rFonts w:ascii="Arial" w:hAnsi="Arial"/>
      <w:lang w:eastAsia="it-IT"/>
    </w:rPr>
  </w:style>
  <w:style w:type="paragraph" w:styleId="Rientronormale">
    <w:name w:val="Normal Indent"/>
    <w:basedOn w:val="Normale"/>
    <w:uiPriority w:val="99"/>
    <w:semiHidden/>
    <w:unhideWhenUsed/>
    <w:rsid w:val="00B76F05"/>
    <w:pPr>
      <w:ind w:left="708"/>
    </w:pPr>
  </w:style>
  <w:style w:type="character" w:customStyle="1" w:styleId="Titolo6Carattere">
    <w:name w:val="Titolo 6 Carattere"/>
    <w:basedOn w:val="Carpredefinitoparagrafo"/>
    <w:link w:val="Titolo6"/>
    <w:rsid w:val="00B76F05"/>
    <w:rPr>
      <w:rFonts w:ascii="Arial" w:hAnsi="Arial"/>
      <w:lang w:eastAsia="it-IT"/>
    </w:rPr>
  </w:style>
  <w:style w:type="character" w:customStyle="1" w:styleId="Titolo7Carattere">
    <w:name w:val="Titolo 7 Carattere"/>
    <w:basedOn w:val="Carpredefinitoparagrafo"/>
    <w:link w:val="Titolo7"/>
    <w:rsid w:val="00B76F05"/>
    <w:rPr>
      <w:rFonts w:ascii="Arial" w:hAnsi="Arial"/>
      <w:b/>
      <w:bCs/>
      <w:lang w:eastAsia="it-IT"/>
    </w:rPr>
  </w:style>
  <w:style w:type="character" w:customStyle="1" w:styleId="Titolo8Carattere">
    <w:name w:val="Titolo 8 Carattere"/>
    <w:basedOn w:val="Carpredefinitoparagrafo"/>
    <w:link w:val="Titolo8"/>
    <w:rsid w:val="00B76F05"/>
    <w:rPr>
      <w:rFonts w:ascii="Arial" w:hAnsi="Arial"/>
      <w:b/>
      <w:lang w:eastAsia="it-IT"/>
    </w:rPr>
  </w:style>
  <w:style w:type="character" w:customStyle="1" w:styleId="Titolo9Carattere">
    <w:name w:val="Titolo 9 Carattere"/>
    <w:basedOn w:val="Carpredefinitoparagrafo"/>
    <w:link w:val="Titolo9"/>
    <w:rsid w:val="00B76F05"/>
    <w:rPr>
      <w:rFonts w:ascii="Arial" w:hAnsi="Arial"/>
      <w:lang w:eastAsia="it-IT"/>
    </w:rPr>
  </w:style>
  <w:style w:type="paragraph" w:styleId="Testofumetto">
    <w:name w:val="Balloon Text"/>
    <w:basedOn w:val="Normale"/>
    <w:link w:val="TestofumettoCarattere"/>
    <w:uiPriority w:val="99"/>
    <w:semiHidden/>
    <w:unhideWhenUsed/>
    <w:rsid w:val="00D4554E"/>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4554E"/>
    <w:rPr>
      <w:rFonts w:ascii="Tahoma" w:hAnsi="Tahoma" w:cs="Tahoma"/>
      <w:sz w:val="16"/>
      <w:szCs w:val="16"/>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1779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1CB46C-CCF4-42F7-A478-E17ED19ED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Pages>
  <Words>1177</Words>
  <Characters>6709</Characters>
  <Application>Microsoft Office Word</Application>
  <DocSecurity>0</DocSecurity>
  <Lines>55</Lines>
  <Paragraphs>15</Paragraphs>
  <ScaleCrop>false</ScaleCrop>
  <HeadingPairs>
    <vt:vector size="2" baseType="variant">
      <vt:variant>
        <vt:lpstr>Titolo</vt:lpstr>
      </vt:variant>
      <vt:variant>
        <vt:i4>1</vt:i4>
      </vt:variant>
    </vt:vector>
  </HeadingPairs>
  <TitlesOfParts>
    <vt:vector size="1" baseType="lpstr">
      <vt:lpstr/>
    </vt:vector>
  </TitlesOfParts>
  <Company>Agsm Verona Spa</Company>
  <LinksUpToDate>false</LinksUpToDate>
  <CharactersWithSpaces>7871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5</cp:revision>
  <cp:lastPrinted>2013-08-19T14:19:00Z</cp:lastPrinted>
  <dcterms:created xsi:type="dcterms:W3CDTF">2013-08-13T14:14:00Z</dcterms:created>
  <dcterms:modified xsi:type="dcterms:W3CDTF">2013-08-19T14:27:00Z</dcterms:modified>
</cp:coreProperties>
</file>